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hint="default" w:ascii="Times New Roman" w:hAnsi="Times New Roman" w:cs="Times New Roman"/>
          <w:sz w:val="22"/>
          <w:szCs w:val="22"/>
          <w:lang w:val="en-GB"/>
        </w:rPr>
      </w:pPr>
      <w:r>
        <w:rPr>
          <w:rFonts w:hint="default" w:ascii="Times New Roman" w:hAnsi="Times New Roman" w:cs="Times New Roman"/>
          <w:sz w:val="22"/>
          <w:szCs w:val="22"/>
          <w:lang w:eastAsia="en-US"/>
        </w:rPr>
        <w:drawing>
          <wp:inline distT="0" distB="0" distL="114300" distR="114300">
            <wp:extent cx="5272405" cy="1990725"/>
            <wp:effectExtent l="0" t="0" r="444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 w:ascii="Times New Roman" w:hAnsi="Times New Roman" w:cs="Times New Roman"/>
          <w:sz w:val="22"/>
          <w:szCs w:val="22"/>
          <w:lang w:eastAsia="en-US"/>
        </w:rPr>
      </w:pPr>
      <w:r>
        <w:rPr>
          <w:rFonts w:hint="default" w:ascii="Times New Roman" w:hAnsi="Times New Roman" w:cs="Times New Roman"/>
          <w:sz w:val="22"/>
          <w:szCs w:val="22"/>
          <w:lang w:eastAsia="en-US"/>
        </w:rPr>
        <w:drawing>
          <wp:inline distT="0" distB="0" distL="114300" distR="114300">
            <wp:extent cx="5269230" cy="2915285"/>
            <wp:effectExtent l="0" t="0" r="7620" b="184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91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 w:ascii="Times New Roman" w:hAnsi="Times New Roman" w:cs="Times New Roman"/>
          <w:sz w:val="22"/>
          <w:szCs w:val="22"/>
          <w:lang w:eastAsia="en-US"/>
        </w:rPr>
      </w:pPr>
    </w:p>
    <w:p>
      <w:pPr>
        <w:spacing w:line="360" w:lineRule="auto"/>
        <w:rPr>
          <w:rFonts w:hint="default" w:ascii="Times New Roman" w:hAnsi="Times New Roman" w:cs="Times New Roman"/>
          <w:sz w:val="22"/>
          <w:szCs w:val="22"/>
          <w:lang w:val="en-GB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  <w:lang w:val="en-GB"/>
        </w:rPr>
        <w:t>TABLE 1: Description and source of data</w:t>
      </w:r>
      <w:r>
        <w:rPr>
          <w:rFonts w:hint="default" w:ascii="Times New Roman" w:hAnsi="Times New Roman" w:cs="Times New Roman"/>
          <w:sz w:val="22"/>
          <w:szCs w:val="22"/>
          <w:lang w:val="en-GB"/>
        </w:rPr>
        <w:t xml:space="preserve">  </w:t>
      </w:r>
    </w:p>
    <w:tbl>
      <w:tblPr>
        <w:tblStyle w:val="4"/>
        <w:tblW w:w="99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5"/>
        <w:gridCol w:w="3021"/>
        <w:gridCol w:w="2949"/>
        <w:gridCol w:w="2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5" w:type="dxa"/>
            <w:tcBorders>
              <w:top w:val="single" w:color="auto" w:sz="12" w:space="0"/>
              <w:left w:val="nil"/>
              <w:bottom w:val="single" w:color="auto" w:sz="12" w:space="0"/>
              <w:right w:val="nil"/>
            </w:tcBorders>
          </w:tcPr>
          <w:p>
            <w:pPr>
              <w:widowControl/>
              <w:spacing w:line="16" w:lineRule="atLeast"/>
              <w:jc w:val="both"/>
              <w:rPr>
                <w:rFonts w:hint="default"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GB"/>
              </w:rPr>
              <w:t>Variable</w:t>
            </w:r>
          </w:p>
        </w:tc>
        <w:tc>
          <w:tcPr>
            <w:tcW w:w="3021" w:type="dxa"/>
            <w:tcBorders>
              <w:top w:val="single" w:color="auto" w:sz="12" w:space="0"/>
              <w:left w:val="nil"/>
              <w:bottom w:val="single" w:color="auto" w:sz="12" w:space="0"/>
              <w:right w:val="nil"/>
            </w:tcBorders>
          </w:tcPr>
          <w:p>
            <w:pPr>
              <w:widowControl/>
              <w:spacing w:line="16" w:lineRule="atLeast"/>
              <w:jc w:val="both"/>
              <w:rPr>
                <w:rFonts w:hint="default"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GB"/>
              </w:rPr>
              <w:t>Full Name</w:t>
            </w:r>
          </w:p>
        </w:tc>
        <w:tc>
          <w:tcPr>
            <w:tcW w:w="2949" w:type="dxa"/>
            <w:tcBorders>
              <w:top w:val="single" w:color="auto" w:sz="12" w:space="0"/>
              <w:left w:val="nil"/>
              <w:bottom w:val="single" w:color="auto" w:sz="12" w:space="0"/>
              <w:right w:val="nil"/>
            </w:tcBorders>
          </w:tcPr>
          <w:p>
            <w:pPr>
              <w:widowControl/>
              <w:spacing w:line="16" w:lineRule="atLeast"/>
              <w:jc w:val="both"/>
              <w:rPr>
                <w:rFonts w:hint="default"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GB"/>
              </w:rPr>
              <w:t>Description</w:t>
            </w:r>
          </w:p>
        </w:tc>
        <w:tc>
          <w:tcPr>
            <w:tcW w:w="2400" w:type="dxa"/>
            <w:tcBorders>
              <w:top w:val="single" w:color="auto" w:sz="12" w:space="0"/>
              <w:left w:val="nil"/>
              <w:bottom w:val="single" w:color="auto" w:sz="12" w:space="0"/>
              <w:right w:val="nil"/>
            </w:tcBorders>
          </w:tcPr>
          <w:p>
            <w:pPr>
              <w:widowControl/>
              <w:spacing w:line="16" w:lineRule="atLeast"/>
              <w:jc w:val="both"/>
              <w:rPr>
                <w:rFonts w:hint="default"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GB"/>
              </w:rPr>
              <w:t>Source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5" w:type="dxa"/>
            <w:tcBorders>
              <w:top w:val="single" w:color="auto" w:sz="12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16" w:lineRule="atLeast"/>
              <w:jc w:val="center"/>
              <w:textAlignment w:val="center"/>
              <w:rPr>
                <w:rFonts w:hint="default"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OILP</w:t>
            </w:r>
          </w:p>
        </w:tc>
        <w:tc>
          <w:tcPr>
            <w:tcW w:w="3021" w:type="dxa"/>
            <w:tcBorders>
              <w:top w:val="single" w:color="auto" w:sz="12" w:space="0"/>
              <w:left w:val="nil"/>
              <w:bottom w:val="nil"/>
              <w:right w:val="nil"/>
            </w:tcBorders>
          </w:tcPr>
          <w:p>
            <w:pPr>
              <w:widowControl/>
              <w:spacing w:line="16" w:lineRule="atLeast"/>
              <w:jc w:val="both"/>
              <w:rPr>
                <w:rFonts w:hint="default"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GB"/>
              </w:rPr>
              <w:t>Brent Oil Price</w:t>
            </w:r>
          </w:p>
        </w:tc>
        <w:tc>
          <w:tcPr>
            <w:tcW w:w="2949" w:type="dxa"/>
            <w:tcBorders>
              <w:top w:val="single" w:color="auto" w:sz="12" w:space="0"/>
              <w:left w:val="nil"/>
              <w:bottom w:val="nil"/>
              <w:right w:val="nil"/>
            </w:tcBorders>
          </w:tcPr>
          <w:p>
            <w:pPr>
              <w:widowControl/>
              <w:spacing w:line="16" w:lineRule="atLeast"/>
              <w:jc w:val="both"/>
              <w:rPr>
                <w:rFonts w:hint="default"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GB"/>
              </w:rPr>
              <w:t xml:space="preserve">UK Brent Oil Price in US dollar per barrel </w:t>
            </w:r>
          </w:p>
        </w:tc>
        <w:tc>
          <w:tcPr>
            <w:tcW w:w="2400" w:type="dxa"/>
            <w:tcBorders>
              <w:top w:val="single" w:color="auto" w:sz="12" w:space="0"/>
              <w:left w:val="nil"/>
              <w:bottom w:val="nil"/>
              <w:right w:val="nil"/>
            </w:tcBorders>
          </w:tcPr>
          <w:p>
            <w:pPr>
              <w:widowControl/>
              <w:spacing w:line="16" w:lineRule="atLeast"/>
              <w:jc w:val="both"/>
              <w:rPr>
                <w:rFonts w:hint="default"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GB"/>
              </w:rPr>
              <w:t>CBN Statistical Database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16" w:lineRule="atLeast"/>
              <w:jc w:val="center"/>
              <w:textAlignment w:val="center"/>
              <w:rPr>
                <w:rFonts w:hint="default"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GDP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16" w:lineRule="atLeast"/>
              <w:jc w:val="both"/>
              <w:rPr>
                <w:rFonts w:hint="default"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GB"/>
              </w:rPr>
              <w:t>Nominal GDP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16" w:lineRule="atLeast"/>
              <w:jc w:val="both"/>
              <w:rPr>
                <w:rFonts w:hint="default"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GB"/>
              </w:rPr>
              <w:t>Nigeria GDP in billion Naira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16" w:lineRule="atLeast"/>
              <w:jc w:val="both"/>
              <w:rPr>
                <w:rFonts w:hint="default"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GB"/>
              </w:rPr>
              <w:t>WDI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16" w:lineRule="atLeast"/>
              <w:jc w:val="center"/>
              <w:textAlignment w:val="center"/>
              <w:rPr>
                <w:rFonts w:hint="default"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INV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16" w:lineRule="atLeast"/>
              <w:jc w:val="both"/>
              <w:rPr>
                <w:rFonts w:hint="default"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GB"/>
              </w:rPr>
              <w:t>Investment Expenditure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16" w:lineRule="atLeast"/>
              <w:jc w:val="both"/>
              <w:rPr>
                <w:rFonts w:hint="default"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GB"/>
              </w:rPr>
              <w:t>INV proxied with gross fixed capital formation in billion naira.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16" w:lineRule="atLeast"/>
              <w:jc w:val="both"/>
              <w:rPr>
                <w:rFonts w:hint="default"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GB"/>
              </w:rPr>
              <w:t>WDI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16" w:lineRule="atLeast"/>
              <w:jc w:val="center"/>
              <w:textAlignment w:val="center"/>
              <w:rPr>
                <w:rFonts w:hint="default"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EXPORT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16" w:lineRule="atLeast"/>
              <w:jc w:val="both"/>
              <w:rPr>
                <w:rFonts w:hint="default"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GB"/>
              </w:rPr>
              <w:t>Value of Nigeria’s Export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16" w:lineRule="atLeast"/>
              <w:jc w:val="both"/>
              <w:rPr>
                <w:rFonts w:hint="default"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GB"/>
              </w:rPr>
              <w:t>Value of Nigeria’s Export in local currency units.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16" w:lineRule="atLeast"/>
              <w:jc w:val="both"/>
              <w:rPr>
                <w:rFonts w:hint="default"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GB"/>
              </w:rPr>
              <w:t>WDI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16" w:lineRule="atLeast"/>
              <w:jc w:val="center"/>
              <w:textAlignment w:val="center"/>
              <w:rPr>
                <w:rFonts w:hint="default"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IMPORT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16" w:lineRule="atLeast"/>
              <w:jc w:val="both"/>
              <w:rPr>
                <w:rFonts w:hint="default"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GB"/>
              </w:rPr>
              <w:t>Value of Nigeria’s Import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16" w:lineRule="atLeast"/>
              <w:jc w:val="both"/>
              <w:rPr>
                <w:rFonts w:hint="default"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GB"/>
              </w:rPr>
              <w:t>Value of Nigeria’s Import in local currency units.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16" w:lineRule="atLeast"/>
              <w:jc w:val="both"/>
              <w:rPr>
                <w:rFonts w:hint="default"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GB"/>
              </w:rPr>
              <w:t>WDI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16" w:lineRule="atLeast"/>
              <w:jc w:val="center"/>
              <w:textAlignment w:val="center"/>
              <w:rPr>
                <w:rFonts w:hint="default"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INFR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16" w:lineRule="atLeast"/>
              <w:jc w:val="both"/>
              <w:rPr>
                <w:rFonts w:hint="default"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GB"/>
              </w:rPr>
              <w:t>Annual Inflation rate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16" w:lineRule="atLeast"/>
              <w:jc w:val="both"/>
              <w:rPr>
                <w:rFonts w:hint="default"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GB"/>
              </w:rPr>
              <w:t>Year-on-year inflation rate for Nigeria in Percentage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16" w:lineRule="atLeast"/>
              <w:jc w:val="both"/>
              <w:rPr>
                <w:rFonts w:hint="default"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GB"/>
              </w:rPr>
              <w:t>CBN Statistical Database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5" w:type="dxa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widowControl/>
              <w:spacing w:line="16" w:lineRule="atLeast"/>
              <w:jc w:val="center"/>
              <w:textAlignment w:val="center"/>
              <w:rPr>
                <w:rFonts w:hint="default"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2"/>
                <w:szCs w:val="22"/>
                <w:lang w:val="en-GB" w:bidi="ar"/>
              </w:rPr>
              <w:t>EXR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12" w:space="0"/>
              <w:right w:val="nil"/>
            </w:tcBorders>
          </w:tcPr>
          <w:p>
            <w:pPr>
              <w:widowControl/>
              <w:spacing w:line="16" w:lineRule="atLeast"/>
              <w:jc w:val="both"/>
              <w:rPr>
                <w:rFonts w:hint="default"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GB"/>
              </w:rPr>
              <w:t xml:space="preserve">Official Exchange rate </w:t>
            </w:r>
          </w:p>
        </w:tc>
        <w:tc>
          <w:tcPr>
            <w:tcW w:w="2949" w:type="dxa"/>
            <w:tcBorders>
              <w:top w:val="nil"/>
              <w:left w:val="nil"/>
              <w:bottom w:val="single" w:color="auto" w:sz="12" w:space="0"/>
              <w:right w:val="nil"/>
            </w:tcBorders>
          </w:tcPr>
          <w:p>
            <w:pPr>
              <w:widowControl/>
              <w:spacing w:line="16" w:lineRule="atLeast"/>
              <w:jc w:val="both"/>
              <w:rPr>
                <w:rFonts w:hint="default"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GB"/>
              </w:rPr>
              <w:t xml:space="preserve">CBN Official Exchange rate in N/$ 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12" w:space="0"/>
              <w:right w:val="nil"/>
            </w:tcBorders>
          </w:tcPr>
          <w:p>
            <w:pPr>
              <w:widowControl/>
              <w:spacing w:line="16" w:lineRule="atLeast"/>
              <w:jc w:val="both"/>
              <w:rPr>
                <w:rFonts w:hint="default"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</w:tbl>
    <w:p>
      <w:pPr>
        <w:rPr>
          <w:rFonts w:hint="default" w:ascii="Times New Roman" w:hAnsi="Times New Roman" w:cs="Times New Roman"/>
          <w:sz w:val="22"/>
          <w:szCs w:val="22"/>
          <w:lang w:eastAsia="en-US"/>
        </w:rPr>
      </w:pPr>
    </w:p>
    <w:p>
      <w:pPr>
        <w:spacing w:line="360" w:lineRule="auto"/>
        <w:rPr>
          <w:rFonts w:hint="default" w:ascii="Times New Roman" w:hAnsi="Times New Roman" w:cs="Times New Roman"/>
          <w:sz w:val="22"/>
          <w:szCs w:val="22"/>
          <w:lang w:val="en-GB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  <w:lang w:val="en-GB"/>
        </w:rPr>
        <w:t>TABLE 2: ADF Unit Root Test Result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3"/>
        <w:gridCol w:w="1717"/>
        <w:gridCol w:w="1788"/>
        <w:gridCol w:w="20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3" w:type="dxa"/>
            <w:vMerge w:val="restart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GB"/>
              </w:rPr>
              <w:t>VARIABLES</w:t>
            </w:r>
          </w:p>
        </w:tc>
        <w:tc>
          <w:tcPr>
            <w:tcW w:w="3505" w:type="dxa"/>
            <w:gridSpan w:val="2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GB"/>
              </w:rPr>
              <w:t>ADF Unit Root Test</w:t>
            </w:r>
          </w:p>
        </w:tc>
        <w:tc>
          <w:tcPr>
            <w:tcW w:w="2021" w:type="dxa"/>
            <w:vMerge w:val="restart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GB"/>
              </w:rPr>
              <w:t>Order of Integration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3" w:type="dxa"/>
            <w:vMerge w:val="continue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717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GB"/>
              </w:rPr>
              <w:t>Level</w:t>
            </w:r>
          </w:p>
        </w:tc>
        <w:tc>
          <w:tcPr>
            <w:tcW w:w="1788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GB"/>
              </w:rPr>
              <w:t>First Difference</w:t>
            </w:r>
          </w:p>
        </w:tc>
        <w:tc>
          <w:tcPr>
            <w:tcW w:w="2021" w:type="dxa"/>
            <w:vMerge w:val="continue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OILP</w:t>
            </w:r>
          </w:p>
        </w:tc>
        <w:tc>
          <w:tcPr>
            <w:tcW w:w="1717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GB"/>
              </w:rPr>
              <w:t>0.4829</w:t>
            </w:r>
          </w:p>
        </w:tc>
        <w:tc>
          <w:tcPr>
            <w:tcW w:w="1788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GB"/>
              </w:rPr>
              <w:t>0.0000</w:t>
            </w:r>
          </w:p>
        </w:tc>
        <w:tc>
          <w:tcPr>
            <w:tcW w:w="2021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GB"/>
              </w:rPr>
              <w:t>I(1)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GDP</w:t>
            </w:r>
          </w:p>
        </w:tc>
        <w:tc>
          <w:tcPr>
            <w:tcW w:w="1717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GB"/>
              </w:rPr>
              <w:t>0.8631</w:t>
            </w:r>
          </w:p>
        </w:tc>
        <w:tc>
          <w:tcPr>
            <w:tcW w:w="1788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GB"/>
              </w:rPr>
              <w:t>0.0063</w:t>
            </w:r>
          </w:p>
        </w:tc>
        <w:tc>
          <w:tcPr>
            <w:tcW w:w="2021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GB"/>
              </w:rPr>
              <w:t>I(1)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INV</w:t>
            </w:r>
          </w:p>
        </w:tc>
        <w:tc>
          <w:tcPr>
            <w:tcW w:w="1717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GB"/>
              </w:rPr>
              <w:t>0.5775</w:t>
            </w:r>
          </w:p>
        </w:tc>
        <w:tc>
          <w:tcPr>
            <w:tcW w:w="1788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GB"/>
              </w:rPr>
              <w:t>0.0212</w:t>
            </w:r>
          </w:p>
        </w:tc>
        <w:tc>
          <w:tcPr>
            <w:tcW w:w="2021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GB"/>
              </w:rPr>
              <w:t>I(1)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EXPORT</w:t>
            </w:r>
          </w:p>
        </w:tc>
        <w:tc>
          <w:tcPr>
            <w:tcW w:w="1717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GB"/>
              </w:rPr>
              <w:t>0.8459</w:t>
            </w:r>
          </w:p>
        </w:tc>
        <w:tc>
          <w:tcPr>
            <w:tcW w:w="1788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GB"/>
              </w:rPr>
              <w:t>0.0000</w:t>
            </w:r>
          </w:p>
        </w:tc>
        <w:tc>
          <w:tcPr>
            <w:tcW w:w="2021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GB"/>
              </w:rPr>
              <w:t>I(1)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IMPORT</w:t>
            </w:r>
          </w:p>
        </w:tc>
        <w:tc>
          <w:tcPr>
            <w:tcW w:w="1717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GB"/>
              </w:rPr>
              <w:t>0.8355</w:t>
            </w:r>
          </w:p>
        </w:tc>
        <w:tc>
          <w:tcPr>
            <w:tcW w:w="1788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GB"/>
              </w:rPr>
              <w:t>0.0000</w:t>
            </w:r>
          </w:p>
        </w:tc>
        <w:tc>
          <w:tcPr>
            <w:tcW w:w="2021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GB"/>
              </w:rPr>
              <w:t>I(1)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INFR</w:t>
            </w:r>
          </w:p>
        </w:tc>
        <w:tc>
          <w:tcPr>
            <w:tcW w:w="1717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GB"/>
              </w:rPr>
              <w:t>0.0479</w:t>
            </w:r>
          </w:p>
        </w:tc>
        <w:tc>
          <w:tcPr>
            <w:tcW w:w="1788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GB"/>
              </w:rPr>
              <w:t>0.0000</w:t>
            </w:r>
          </w:p>
        </w:tc>
        <w:tc>
          <w:tcPr>
            <w:tcW w:w="2021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GB"/>
              </w:rPr>
              <w:t>I(0) and I(1)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2"/>
                <w:szCs w:val="22"/>
                <w:lang w:val="en-GB" w:bidi="ar"/>
              </w:rPr>
              <w:t>EXR</w:t>
            </w:r>
          </w:p>
        </w:tc>
        <w:tc>
          <w:tcPr>
            <w:tcW w:w="1717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GB"/>
              </w:rPr>
              <w:t>0.9908</w:t>
            </w:r>
          </w:p>
        </w:tc>
        <w:tc>
          <w:tcPr>
            <w:tcW w:w="1788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GB"/>
              </w:rPr>
              <w:t>0.0004</w:t>
            </w:r>
          </w:p>
        </w:tc>
        <w:tc>
          <w:tcPr>
            <w:tcW w:w="2021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GB"/>
              </w:rPr>
              <w:t>I(1)</w:t>
            </w:r>
          </w:p>
        </w:tc>
      </w:tr>
    </w:tbl>
    <w:p>
      <w:pPr>
        <w:rPr>
          <w:rFonts w:hint="default" w:ascii="Times New Roman" w:hAnsi="Times New Roman" w:cs="Times New Roman"/>
          <w:sz w:val="22"/>
          <w:szCs w:val="22"/>
          <w:lang w:eastAsia="en-US"/>
        </w:rPr>
      </w:pPr>
    </w:p>
    <w:p>
      <w:pPr>
        <w:spacing w:line="360" w:lineRule="auto"/>
        <w:rPr>
          <w:rFonts w:hint="default" w:ascii="Times New Roman" w:hAnsi="Times New Roman" w:cs="Times New Roman"/>
          <w:b/>
          <w:bCs/>
          <w:sz w:val="22"/>
          <w:szCs w:val="22"/>
          <w:lang w:val="en-GB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  <w:lang w:val="en-GB"/>
        </w:rPr>
        <w:t>TABLE 3: Long-Term Coefficients Matrix from the Impulse Response Functions</w:t>
      </w:r>
    </w:p>
    <w:tbl>
      <w:tblPr>
        <w:tblStyle w:val="4"/>
        <w:tblW w:w="541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5"/>
        <w:gridCol w:w="1309"/>
        <w:gridCol w:w="1151"/>
        <w:gridCol w:w="1151"/>
        <w:gridCol w:w="1223"/>
        <w:gridCol w:w="1151"/>
        <w:gridCol w:w="1077"/>
        <w:gridCol w:w="10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92" w:type="pct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OILP</w:t>
            </w:r>
          </w:p>
        </w:tc>
        <w:tc>
          <w:tcPr>
            <w:tcW w:w="623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GDP</w:t>
            </w:r>
          </w:p>
        </w:tc>
        <w:tc>
          <w:tcPr>
            <w:tcW w:w="623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INV</w:t>
            </w:r>
          </w:p>
        </w:tc>
        <w:tc>
          <w:tcPr>
            <w:tcW w:w="662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EXPORT</w:t>
            </w:r>
          </w:p>
        </w:tc>
        <w:tc>
          <w:tcPr>
            <w:tcW w:w="623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IMPORT</w:t>
            </w:r>
          </w:p>
        </w:tc>
        <w:tc>
          <w:tcPr>
            <w:tcW w:w="583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INFR</w:t>
            </w:r>
          </w:p>
        </w:tc>
        <w:tc>
          <w:tcPr>
            <w:tcW w:w="58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SimSun" w:cs="Times New Roman"/>
                <w:color w:val="000000"/>
                <w:sz w:val="22"/>
                <w:szCs w:val="22"/>
                <w:lang w:val="en-GB" w:bidi="ar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2"/>
                <w:szCs w:val="22"/>
                <w:lang w:val="en-GB" w:bidi="ar"/>
              </w:rPr>
              <w:t>EXR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592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OILP</w:t>
            </w:r>
          </w:p>
        </w:tc>
        <w:tc>
          <w:tcPr>
            <w:tcW w:w="708" w:type="pct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0.081337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GB"/>
              </w:rPr>
              <w:t>*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(0.01095)</w:t>
            </w:r>
          </w:p>
        </w:tc>
        <w:tc>
          <w:tcPr>
            <w:tcW w:w="623" w:type="pct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" w:type="pct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2" w:type="pct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" w:type="pct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3" w:type="pct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4" w:type="pct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592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GDP</w:t>
            </w:r>
          </w:p>
        </w:tc>
        <w:tc>
          <w:tcPr>
            <w:tcW w:w="708" w:type="pct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-0.001811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GB"/>
              </w:rPr>
              <w:t>*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(0.00251)</w:t>
            </w:r>
          </w:p>
        </w:tc>
        <w:tc>
          <w:tcPr>
            <w:tcW w:w="623" w:type="pct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0.025425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(0.00281)</w:t>
            </w:r>
          </w:p>
        </w:tc>
        <w:tc>
          <w:tcPr>
            <w:tcW w:w="623" w:type="pct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2" w:type="pct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" w:type="pct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3" w:type="pct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4" w:type="pct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592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INV</w:t>
            </w:r>
          </w:p>
        </w:tc>
        <w:tc>
          <w:tcPr>
            <w:tcW w:w="708" w:type="pct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-0.001254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GB"/>
              </w:rPr>
              <w:t>*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(0.00461)</w:t>
            </w:r>
          </w:p>
        </w:tc>
        <w:tc>
          <w:tcPr>
            <w:tcW w:w="623" w:type="pct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0.006079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GB"/>
              </w:rPr>
              <w:t>*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 (0.00541)</w:t>
            </w:r>
          </w:p>
        </w:tc>
        <w:tc>
          <w:tcPr>
            <w:tcW w:w="623" w:type="pct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0.017234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GB"/>
              </w:rPr>
              <w:t>*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(0.00057)</w:t>
            </w:r>
          </w:p>
        </w:tc>
        <w:tc>
          <w:tcPr>
            <w:tcW w:w="662" w:type="pct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" w:type="pct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3" w:type="pct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4" w:type="pct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592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EXPORT</w:t>
            </w:r>
          </w:p>
        </w:tc>
        <w:tc>
          <w:tcPr>
            <w:tcW w:w="708" w:type="pct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0.011995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GB"/>
              </w:rPr>
              <w:t>*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(0.00482)</w:t>
            </w:r>
          </w:p>
        </w:tc>
        <w:tc>
          <w:tcPr>
            <w:tcW w:w="623" w:type="pct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0.003008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GB"/>
              </w:rPr>
              <w:t>*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(0.00479)</w:t>
            </w:r>
          </w:p>
        </w:tc>
        <w:tc>
          <w:tcPr>
            <w:tcW w:w="623" w:type="pct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0.003469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GB"/>
              </w:rPr>
              <w:t>*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 (0.00734)</w:t>
            </w:r>
          </w:p>
        </w:tc>
        <w:tc>
          <w:tcPr>
            <w:tcW w:w="662" w:type="pct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0.030165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GB"/>
              </w:rPr>
              <w:t>*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(0.00490)</w:t>
            </w:r>
          </w:p>
        </w:tc>
        <w:tc>
          <w:tcPr>
            <w:tcW w:w="623" w:type="pct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3" w:type="pct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4" w:type="pct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592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IMPORT</w:t>
            </w:r>
          </w:p>
        </w:tc>
        <w:tc>
          <w:tcPr>
            <w:tcW w:w="708" w:type="pct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-0.013779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GB"/>
              </w:rPr>
              <w:t>*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(0.00967)</w:t>
            </w:r>
          </w:p>
        </w:tc>
        <w:tc>
          <w:tcPr>
            <w:tcW w:w="623" w:type="pct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0.026271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GB"/>
              </w:rPr>
              <w:t>*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 (0.00986)</w:t>
            </w:r>
          </w:p>
        </w:tc>
        <w:tc>
          <w:tcPr>
            <w:tcW w:w="623" w:type="pct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0.027520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GB"/>
              </w:rPr>
              <w:t>*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(0.01464)</w:t>
            </w:r>
          </w:p>
        </w:tc>
        <w:tc>
          <w:tcPr>
            <w:tcW w:w="662" w:type="pct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-0.0065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GB"/>
              </w:rPr>
              <w:t>9*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(0.00996)</w:t>
            </w:r>
          </w:p>
        </w:tc>
        <w:tc>
          <w:tcPr>
            <w:tcW w:w="623" w:type="pct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0.058328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GB"/>
              </w:rPr>
              <w:t>*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 (0.01098)</w:t>
            </w:r>
          </w:p>
        </w:tc>
        <w:tc>
          <w:tcPr>
            <w:tcW w:w="583" w:type="pct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4" w:type="pct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592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INFR</w:t>
            </w:r>
          </w:p>
        </w:tc>
        <w:tc>
          <w:tcPr>
            <w:tcW w:w="708" w:type="pct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-0.261602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(0.36604)</w:t>
            </w:r>
          </w:p>
        </w:tc>
        <w:tc>
          <w:tcPr>
            <w:tcW w:w="623" w:type="pct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1.355869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(0.41148)</w:t>
            </w:r>
          </w:p>
        </w:tc>
        <w:tc>
          <w:tcPr>
            <w:tcW w:w="623" w:type="pct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-0.252729 (0.54763)</w:t>
            </w:r>
          </w:p>
        </w:tc>
        <w:tc>
          <w:tcPr>
            <w:tcW w:w="662" w:type="pct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0.189645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(0.36340)</w:t>
            </w:r>
          </w:p>
        </w:tc>
        <w:tc>
          <w:tcPr>
            <w:tcW w:w="623" w:type="pct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0.403300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(0.40032)</w:t>
            </w:r>
          </w:p>
        </w:tc>
        <w:tc>
          <w:tcPr>
            <w:tcW w:w="583" w:type="pct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2.588019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(0.28832)</w:t>
            </w:r>
          </w:p>
        </w:tc>
        <w:tc>
          <w:tcPr>
            <w:tcW w:w="584" w:type="pct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592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SimSun" w:cs="Times New Roman"/>
                <w:color w:val="000000"/>
                <w:sz w:val="22"/>
                <w:szCs w:val="22"/>
                <w:lang w:val="en-GB" w:bidi="ar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2"/>
                <w:szCs w:val="22"/>
                <w:lang w:val="en-GB" w:bidi="ar"/>
              </w:rPr>
              <w:t>EXR</w:t>
            </w:r>
          </w:p>
        </w:tc>
        <w:tc>
          <w:tcPr>
            <w:tcW w:w="708" w:type="pct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-2.063221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(0.40360)</w:t>
            </w:r>
          </w:p>
        </w:tc>
        <w:tc>
          <w:tcPr>
            <w:tcW w:w="623" w:type="pct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-1.092578 (0.46349)</w:t>
            </w:r>
          </w:p>
        </w:tc>
        <w:tc>
          <w:tcPr>
            <w:tcW w:w="623" w:type="pct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-0.133241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(0.59353)</w:t>
            </w:r>
          </w:p>
        </w:tc>
        <w:tc>
          <w:tcPr>
            <w:tcW w:w="662" w:type="pct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1.281365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(0.40889)</w:t>
            </w:r>
          </w:p>
        </w:tc>
        <w:tc>
          <w:tcPr>
            <w:tcW w:w="623" w:type="pct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-0.791061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(0.38628)</w:t>
            </w:r>
          </w:p>
        </w:tc>
        <w:tc>
          <w:tcPr>
            <w:tcW w:w="583" w:type="pct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0.209183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(0.45092)</w:t>
            </w:r>
          </w:p>
        </w:tc>
        <w:tc>
          <w:tcPr>
            <w:tcW w:w="584" w:type="pct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3.372851 (0.45052)</w:t>
            </w:r>
          </w:p>
        </w:tc>
      </w:tr>
    </w:tbl>
    <w:p>
      <w:pPr>
        <w:rPr>
          <w:rFonts w:hint="default" w:ascii="Times New Roman" w:hAnsi="Times New Roman" w:cs="Times New Roman"/>
          <w:sz w:val="22"/>
          <w:szCs w:val="22"/>
          <w:lang w:eastAsia="en-US"/>
        </w:rPr>
      </w:pPr>
    </w:p>
    <w:p>
      <w:pPr>
        <w:spacing w:line="360" w:lineRule="auto"/>
        <w:jc w:val="center"/>
        <w:rPr>
          <w:rFonts w:hint="default" w:ascii="Times New Roman" w:hAnsi="Times New Roman" w:cs="Times New Roman"/>
          <w:b/>
          <w:bCs/>
          <w:sz w:val="22"/>
          <w:szCs w:val="22"/>
          <w:lang w:val="en-GB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  <w:lang w:val="en-GB"/>
        </w:rPr>
        <w:object>
          <v:shape id="_x0000_i1025" o:spt="75" type="#_x0000_t75" style="height:330.75pt;width:441pt;" o:ole="t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f"/>
            <w10:wrap type="none"/>
            <w10:anchorlock/>
          </v:shape>
          <o:OLEObject Type="Embed" ProgID="EViews.Workfile.2" ShapeID="_x0000_i1025" DrawAspect="Content" ObjectID="_1468075725" r:id="rId6">
            <o:LockedField>false</o:LockedField>
          </o:OLEObject>
        </w:object>
      </w:r>
      <w:r>
        <w:rPr>
          <w:rFonts w:hint="default" w:ascii="Times New Roman" w:hAnsi="Times New Roman" w:cs="Times New Roman"/>
          <w:b/>
          <w:bCs/>
          <w:sz w:val="22"/>
          <w:szCs w:val="22"/>
          <w:lang w:val="en-GB"/>
        </w:rPr>
        <w:t>GRAPH 1: Graphical Representation of the Impulse Response Functions</w:t>
      </w:r>
    </w:p>
    <w:p>
      <w:pPr>
        <w:rPr>
          <w:rFonts w:hint="default" w:ascii="Times New Roman" w:hAnsi="Times New Roman" w:cs="Times New Roman"/>
          <w:b/>
          <w:bCs/>
          <w:sz w:val="22"/>
          <w:szCs w:val="22"/>
          <w:lang w:val="en-GB"/>
        </w:rPr>
      </w:pPr>
    </w:p>
    <w:p>
      <w:pPr>
        <w:rPr>
          <w:rFonts w:hint="default" w:ascii="Times New Roman" w:hAnsi="Times New Roman" w:cs="Times New Roman"/>
          <w:b/>
          <w:bCs/>
          <w:sz w:val="22"/>
          <w:szCs w:val="22"/>
          <w:lang w:val="en-GB"/>
        </w:rPr>
      </w:pPr>
    </w:p>
    <w:p>
      <w:pPr>
        <w:spacing w:line="360" w:lineRule="auto"/>
        <w:jc w:val="both"/>
        <w:rPr>
          <w:rFonts w:hint="default" w:ascii="Times New Roman" w:hAnsi="Times New Roman" w:cs="Times New Roman"/>
          <w:sz w:val="22"/>
          <w:szCs w:val="22"/>
          <w:lang w:val="en-GB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  <w:lang w:val="en-GB"/>
        </w:rPr>
        <w:t>TABLE 4: Serial Correlation and Heteroscedasticity Test Result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6"/>
        <w:gridCol w:w="1607"/>
        <w:gridCol w:w="1573"/>
        <w:gridCol w:w="1989"/>
        <w:gridCol w:w="16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16" w:type="dxa"/>
            <w:gridSpan w:val="3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GB"/>
              </w:rPr>
              <w:t>Autocorrelation LM Test</w:t>
            </w:r>
          </w:p>
        </w:tc>
        <w:tc>
          <w:tcPr>
            <w:tcW w:w="3606" w:type="dxa"/>
            <w:gridSpan w:val="2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GB"/>
              </w:rPr>
              <w:t>White Heteroscedasticity Test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6" w:type="dxa"/>
            <w:tcBorders>
              <w:bottom w:val="nil"/>
              <w:right w:val="nil"/>
            </w:tcBorders>
            <w:vAlign w:val="center"/>
          </w:tcPr>
          <w:p>
            <w:pPr>
              <w:widowControl w:val="0"/>
              <w:spacing w:line="360" w:lineRule="auto"/>
              <w:jc w:val="left"/>
              <w:rPr>
                <w:rFonts w:hint="default"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GB"/>
              </w:rPr>
              <w:t>Lags</w:t>
            </w:r>
          </w:p>
        </w:tc>
        <w:tc>
          <w:tcPr>
            <w:tcW w:w="1607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GB"/>
              </w:rPr>
              <w:t>LM-Stat</w:t>
            </w:r>
          </w:p>
        </w:tc>
        <w:tc>
          <w:tcPr>
            <w:tcW w:w="1573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GB"/>
              </w:rPr>
              <w:t>Prob</w:t>
            </w:r>
          </w:p>
        </w:tc>
        <w:tc>
          <w:tcPr>
            <w:tcW w:w="1989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line="360" w:lineRule="auto"/>
              <w:jc w:val="left"/>
              <w:rPr>
                <w:rFonts w:hint="default"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GB"/>
              </w:rPr>
              <w:t>Chisq</w:t>
            </w:r>
          </w:p>
        </w:tc>
        <w:tc>
          <w:tcPr>
            <w:tcW w:w="1617" w:type="dxa"/>
            <w:tcBorders>
              <w:left w:val="nil"/>
              <w:bottom w:val="nil"/>
            </w:tcBorders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GB"/>
              </w:rPr>
              <w:t>1109.993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6" w:type="dxa"/>
            <w:tcBorders>
              <w:top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67.78668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0.0389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line="360" w:lineRule="auto"/>
              <w:jc w:val="left"/>
              <w:rPr>
                <w:rFonts w:hint="default"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GB"/>
              </w:rPr>
              <w:t>Df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GB"/>
              </w:rPr>
              <w:t>1176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6" w:type="dxa"/>
            <w:tcBorders>
              <w:top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2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100.8054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0</w:t>
            </w:r>
            <w:r>
              <w:rPr>
                <w:rFonts w:hint="default" w:ascii="Times New Roman" w:hAnsi="Times New Roman" w:eastAsia="SimSun" w:cs="Times New Roman"/>
                <w:color w:val="000000"/>
                <w:sz w:val="22"/>
                <w:szCs w:val="22"/>
                <w:lang w:val="en-GB" w:bidi="ar"/>
              </w:rPr>
              <w:t>.0000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line="360" w:lineRule="auto"/>
              <w:jc w:val="left"/>
              <w:rPr>
                <w:rFonts w:hint="default"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GB"/>
              </w:rPr>
              <w:t>Prob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GB"/>
              </w:rPr>
              <w:t>0.9152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6" w:type="dxa"/>
            <w:tcBorders>
              <w:top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3</w:t>
            </w:r>
          </w:p>
        </w:tc>
        <w:tc>
          <w:tcPr>
            <w:tcW w:w="1607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23.55737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0.9992</w:t>
            </w:r>
          </w:p>
        </w:tc>
        <w:tc>
          <w:tcPr>
            <w:tcW w:w="1989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 w:val="0"/>
              <w:spacing w:line="360" w:lineRule="auto"/>
              <w:jc w:val="left"/>
              <w:rPr>
                <w:rFonts w:hint="default"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</w:tcBorders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</w:tbl>
    <w:p>
      <w:pPr>
        <w:rPr>
          <w:rFonts w:hint="default" w:ascii="Times New Roman" w:hAnsi="Times New Roman" w:cs="Times New Roman"/>
          <w:b/>
          <w:bCs/>
          <w:sz w:val="22"/>
          <w:szCs w:val="22"/>
          <w:lang w:val="en-GB" w:eastAsia="en-US"/>
        </w:rPr>
      </w:pPr>
    </w:p>
    <w:p>
      <w:pPr>
        <w:rPr>
          <w:rFonts w:hint="default" w:ascii="Times New Roman" w:hAnsi="Times New Roman" w:cs="Times New Roman"/>
          <w:b/>
          <w:bCs/>
          <w:sz w:val="22"/>
          <w:szCs w:val="22"/>
          <w:lang w:val="en-GB" w:eastAsia="en-US"/>
        </w:rPr>
      </w:pPr>
    </w:p>
    <w:p>
      <w:pPr>
        <w:rPr>
          <w:rFonts w:hint="default" w:ascii="Times New Roman" w:hAnsi="Times New Roman" w:cs="Times New Roman"/>
          <w:b/>
          <w:bCs/>
          <w:sz w:val="22"/>
          <w:szCs w:val="22"/>
          <w:lang w:val="en-GB" w:eastAsia="en-US"/>
        </w:rPr>
      </w:pP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D67843"/>
    <w:rsid w:val="55D6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emf"/><Relationship Id="rId6" Type="http://schemas.openxmlformats.org/officeDocument/2006/relationships/oleObject" Target="embeddings/oleObject1.bin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Office_11.2.0.9396_F1E327BC-269C-435d-A152-05C5408002CA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2020-06-12T15:32:00Z</dcterms:created>
  <dc:creator>ADESETE AHMED</dc:creator>
  <cp:lastModifiedBy>ADESETE AHMED</cp:lastModifiedBy>
  <dcterms:modified xsi:type="dcterms:W3CDTF">2020-06-12T16:16:40Z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2057-11.2.0.9396</vt:lpwstr>
  </property>
</Properties>
</file>