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  <w:lang w:val="en-GB"/>
        </w:rPr>
      </w:pPr>
      <w:r>
        <w:rPr>
          <w:rFonts w:hint="default" w:ascii="Times New Roman" w:hAnsi="Times New Roman" w:cs="Times New Roman"/>
          <w:sz w:val="22"/>
          <w:szCs w:val="22"/>
          <w:lang w:eastAsia="en-US"/>
        </w:rPr>
        <w:drawing>
          <wp:inline distT="0" distB="0" distL="114300" distR="114300">
            <wp:extent cx="5272405" cy="1990725"/>
            <wp:effectExtent l="0" t="0" r="444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22"/>
          <w:szCs w:val="22"/>
          <w:lang w:eastAsia="en-US"/>
        </w:rPr>
      </w:pPr>
      <w:r>
        <w:rPr>
          <w:rFonts w:hint="default" w:ascii="Times New Roman" w:hAnsi="Times New Roman" w:cs="Times New Roman"/>
          <w:sz w:val="22"/>
          <w:szCs w:val="22"/>
          <w:lang w:eastAsia="en-US"/>
        </w:rPr>
        <w:drawing>
          <wp:inline distT="0" distB="0" distL="114300" distR="114300">
            <wp:extent cx="5269230" cy="2915285"/>
            <wp:effectExtent l="0" t="0" r="7620" b="184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1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22"/>
          <w:szCs w:val="22"/>
          <w:lang w:eastAsia="en-US"/>
        </w:rPr>
      </w:pPr>
    </w:p>
    <w:p>
      <w:pPr>
        <w:spacing w:line="360" w:lineRule="auto"/>
        <w:rPr>
          <w:rFonts w:hint="default" w:ascii="Times New Roman" w:hAnsi="Times New Roman" w:cs="Times New Roman"/>
          <w:sz w:val="22"/>
          <w:szCs w:val="22"/>
          <w:lang w:val="en-GB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en-GB"/>
        </w:rPr>
        <w:t>TABLE 1: Description and source of data</w:t>
      </w:r>
      <w:r>
        <w:rPr>
          <w:rFonts w:hint="default" w:ascii="Times New Roman" w:hAnsi="Times New Roman" w:cs="Times New Roman"/>
          <w:sz w:val="22"/>
          <w:szCs w:val="22"/>
          <w:lang w:val="en-GB"/>
        </w:rPr>
        <w:t xml:space="preserve">  </w:t>
      </w:r>
    </w:p>
    <w:tbl>
      <w:tblPr>
        <w:tblStyle w:val="4"/>
        <w:tblW w:w="99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3021"/>
        <w:gridCol w:w="2949"/>
        <w:gridCol w:w="2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16" w:lineRule="atLeast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Variable</w:t>
            </w:r>
          </w:p>
        </w:tc>
        <w:tc>
          <w:tcPr>
            <w:tcW w:w="302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16" w:lineRule="atLeast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Full Name</w:t>
            </w:r>
          </w:p>
        </w:tc>
        <w:tc>
          <w:tcPr>
            <w:tcW w:w="294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16" w:lineRule="atLeast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Description</w:t>
            </w:r>
          </w:p>
        </w:tc>
        <w:tc>
          <w:tcPr>
            <w:tcW w:w="240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16" w:lineRule="atLeast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Source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5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16" w:lineRule="atLeast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bidi="ar"/>
              </w:rPr>
              <w:t>OILP</w:t>
            </w:r>
          </w:p>
        </w:tc>
        <w:tc>
          <w:tcPr>
            <w:tcW w:w="3021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widowControl/>
              <w:spacing w:line="16" w:lineRule="atLeast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Brent Oil Price</w:t>
            </w:r>
          </w:p>
        </w:tc>
        <w:tc>
          <w:tcPr>
            <w:tcW w:w="2949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widowControl/>
              <w:spacing w:line="16" w:lineRule="atLeast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 xml:space="preserve">UK Brent Oil Price in US dollar per barrel </w:t>
            </w:r>
          </w:p>
        </w:tc>
        <w:tc>
          <w:tcPr>
            <w:tcW w:w="2400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widowControl/>
              <w:spacing w:line="16" w:lineRule="atLeast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CBN Statistical Database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16" w:lineRule="atLeast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bidi="ar"/>
              </w:rPr>
              <w:t>GDP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16" w:lineRule="atLeast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Nominal GDP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16" w:lineRule="atLeast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Nigeria GDP in billion Naira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16" w:lineRule="atLeast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WDI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16" w:lineRule="atLeast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bidi="ar"/>
              </w:rPr>
              <w:t>INV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16" w:lineRule="atLeast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Investment Expenditure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16" w:lineRule="atLeast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INV proxied with gross fixed capital formation in billion naira.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16" w:lineRule="atLeast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WDI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16" w:lineRule="atLeast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bidi="ar"/>
              </w:rPr>
              <w:t>EXPORT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16" w:lineRule="atLeast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Value of Nigeria’s Export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16" w:lineRule="atLeast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Value of Nigeria’s Export in local currency units.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16" w:lineRule="atLeast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WDI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16" w:lineRule="atLeast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bidi="ar"/>
              </w:rPr>
              <w:t>IMPORT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16" w:lineRule="atLeast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Value of Nigeria’s Import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16" w:lineRule="atLeast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Value of Nigeria’s Import in local currency units.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16" w:lineRule="atLeast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WDI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16" w:lineRule="atLeast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bidi="ar"/>
              </w:rPr>
              <w:t>INFR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16" w:lineRule="atLeast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Annual Inflation rate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16" w:lineRule="atLeast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Year-on-year inflation rate for Nigeria in Percentage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16" w:lineRule="atLeast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CBN Statistical Database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spacing w:line="16" w:lineRule="atLeast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val="en-GB" w:bidi="ar"/>
              </w:rPr>
              <w:t>EXR</w:t>
            </w:r>
          </w:p>
        </w:tc>
        <w:tc>
          <w:tcPr>
            <w:tcW w:w="302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16" w:lineRule="atLeast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 xml:space="preserve">Official Exchange rate </w:t>
            </w:r>
          </w:p>
        </w:tc>
        <w:tc>
          <w:tcPr>
            <w:tcW w:w="2949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16" w:lineRule="atLeast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 xml:space="preserve">CBN Official Exchange rate in N/$ 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16" w:lineRule="atLeast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</w:tbl>
    <w:p>
      <w:pPr>
        <w:rPr>
          <w:rFonts w:hint="default" w:ascii="Times New Roman" w:hAnsi="Times New Roman" w:cs="Times New Roman"/>
          <w:sz w:val="22"/>
          <w:szCs w:val="22"/>
          <w:lang w:eastAsia="en-US"/>
        </w:rPr>
      </w:pPr>
    </w:p>
    <w:p>
      <w:pPr>
        <w:spacing w:line="360" w:lineRule="auto"/>
        <w:rPr>
          <w:rFonts w:hint="default" w:ascii="Times New Roman" w:hAnsi="Times New Roman" w:cs="Times New Roman"/>
          <w:sz w:val="22"/>
          <w:szCs w:val="22"/>
          <w:lang w:val="en-GB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en-GB"/>
        </w:rPr>
        <w:t>TABLE 2: ADF Unit Root Test Result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3"/>
        <w:gridCol w:w="1717"/>
        <w:gridCol w:w="1788"/>
        <w:gridCol w:w="20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3" w:type="dxa"/>
            <w:vMerge w:val="restar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VARIABLES</w:t>
            </w:r>
          </w:p>
        </w:tc>
        <w:tc>
          <w:tcPr>
            <w:tcW w:w="3505" w:type="dxa"/>
            <w:gridSpan w:val="2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ADF Unit Root Test</w:t>
            </w:r>
          </w:p>
        </w:tc>
        <w:tc>
          <w:tcPr>
            <w:tcW w:w="2021" w:type="dxa"/>
            <w:vMerge w:val="restar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Order of Integration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3" w:type="dxa"/>
            <w:vMerge w:val="continue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71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Level</w:t>
            </w:r>
          </w:p>
        </w:tc>
        <w:tc>
          <w:tcPr>
            <w:tcW w:w="178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First Difference</w:t>
            </w:r>
          </w:p>
        </w:tc>
        <w:tc>
          <w:tcPr>
            <w:tcW w:w="2021" w:type="dxa"/>
            <w:vMerge w:val="continue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bidi="ar"/>
              </w:rPr>
              <w:t>OILP</w:t>
            </w:r>
          </w:p>
        </w:tc>
        <w:tc>
          <w:tcPr>
            <w:tcW w:w="171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0.4829</w:t>
            </w:r>
          </w:p>
        </w:tc>
        <w:tc>
          <w:tcPr>
            <w:tcW w:w="178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0.0000</w:t>
            </w:r>
          </w:p>
        </w:tc>
        <w:tc>
          <w:tcPr>
            <w:tcW w:w="20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I(1)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bidi="ar"/>
              </w:rPr>
              <w:t>GDP</w:t>
            </w:r>
          </w:p>
        </w:tc>
        <w:tc>
          <w:tcPr>
            <w:tcW w:w="171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0.8631</w:t>
            </w:r>
          </w:p>
        </w:tc>
        <w:tc>
          <w:tcPr>
            <w:tcW w:w="178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0.0063</w:t>
            </w:r>
          </w:p>
        </w:tc>
        <w:tc>
          <w:tcPr>
            <w:tcW w:w="20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I(1)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bidi="ar"/>
              </w:rPr>
              <w:t>INV</w:t>
            </w:r>
          </w:p>
        </w:tc>
        <w:tc>
          <w:tcPr>
            <w:tcW w:w="171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0.5775</w:t>
            </w:r>
          </w:p>
        </w:tc>
        <w:tc>
          <w:tcPr>
            <w:tcW w:w="178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0.0212</w:t>
            </w:r>
          </w:p>
        </w:tc>
        <w:tc>
          <w:tcPr>
            <w:tcW w:w="20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I(1)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bidi="ar"/>
              </w:rPr>
              <w:t>EXPORT</w:t>
            </w:r>
          </w:p>
        </w:tc>
        <w:tc>
          <w:tcPr>
            <w:tcW w:w="171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0.8459</w:t>
            </w:r>
          </w:p>
        </w:tc>
        <w:tc>
          <w:tcPr>
            <w:tcW w:w="178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0.0000</w:t>
            </w:r>
          </w:p>
        </w:tc>
        <w:tc>
          <w:tcPr>
            <w:tcW w:w="20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I(1)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bidi="ar"/>
              </w:rPr>
              <w:t>IMPORT</w:t>
            </w:r>
          </w:p>
        </w:tc>
        <w:tc>
          <w:tcPr>
            <w:tcW w:w="171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0.8355</w:t>
            </w:r>
          </w:p>
        </w:tc>
        <w:tc>
          <w:tcPr>
            <w:tcW w:w="178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0.0000</w:t>
            </w:r>
          </w:p>
        </w:tc>
        <w:tc>
          <w:tcPr>
            <w:tcW w:w="20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I(1)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bidi="ar"/>
              </w:rPr>
              <w:t>INFR</w:t>
            </w:r>
          </w:p>
        </w:tc>
        <w:tc>
          <w:tcPr>
            <w:tcW w:w="171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0.0479</w:t>
            </w:r>
          </w:p>
        </w:tc>
        <w:tc>
          <w:tcPr>
            <w:tcW w:w="178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0.0000</w:t>
            </w:r>
          </w:p>
        </w:tc>
        <w:tc>
          <w:tcPr>
            <w:tcW w:w="20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I(0) and I(1)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val="en-GB" w:bidi="ar"/>
              </w:rPr>
              <w:t>EXR</w:t>
            </w:r>
          </w:p>
        </w:tc>
        <w:tc>
          <w:tcPr>
            <w:tcW w:w="171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0.9908</w:t>
            </w:r>
          </w:p>
        </w:tc>
        <w:tc>
          <w:tcPr>
            <w:tcW w:w="178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0.0004</w:t>
            </w:r>
          </w:p>
        </w:tc>
        <w:tc>
          <w:tcPr>
            <w:tcW w:w="20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I(1)</w:t>
            </w:r>
          </w:p>
        </w:tc>
      </w:tr>
    </w:tbl>
    <w:p>
      <w:pPr>
        <w:rPr>
          <w:rFonts w:hint="default" w:ascii="Times New Roman" w:hAnsi="Times New Roman" w:cs="Times New Roman"/>
          <w:sz w:val="22"/>
          <w:szCs w:val="22"/>
          <w:lang w:eastAsia="en-US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bCs/>
          <w:sz w:val="22"/>
          <w:szCs w:val="22"/>
          <w:lang w:val="en-GB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en-GB"/>
        </w:rPr>
        <w:t>TABLE 3: Long-Term Coefficients Matrix from the Impulse Response Functions</w:t>
      </w:r>
    </w:p>
    <w:tbl>
      <w:tblPr>
        <w:tblStyle w:val="4"/>
        <w:tblW w:w="541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1309"/>
        <w:gridCol w:w="1151"/>
        <w:gridCol w:w="1151"/>
        <w:gridCol w:w="1223"/>
        <w:gridCol w:w="1151"/>
        <w:gridCol w:w="1077"/>
        <w:gridCol w:w="1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92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bidi="ar"/>
              </w:rPr>
              <w:t>OILP</w:t>
            </w:r>
          </w:p>
        </w:tc>
        <w:tc>
          <w:tcPr>
            <w:tcW w:w="623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bidi="ar"/>
              </w:rPr>
              <w:t>GDP</w:t>
            </w:r>
          </w:p>
        </w:tc>
        <w:tc>
          <w:tcPr>
            <w:tcW w:w="623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bidi="ar"/>
              </w:rPr>
              <w:t>INV</w:t>
            </w:r>
          </w:p>
        </w:tc>
        <w:tc>
          <w:tcPr>
            <w:tcW w:w="662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bidi="ar"/>
              </w:rPr>
              <w:t>EXPORT</w:t>
            </w:r>
          </w:p>
        </w:tc>
        <w:tc>
          <w:tcPr>
            <w:tcW w:w="623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bidi="ar"/>
              </w:rPr>
              <w:t>IMPORT</w:t>
            </w:r>
          </w:p>
        </w:tc>
        <w:tc>
          <w:tcPr>
            <w:tcW w:w="583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bidi="ar"/>
              </w:rPr>
              <w:t>INFR</w:t>
            </w:r>
          </w:p>
        </w:tc>
        <w:tc>
          <w:tcPr>
            <w:tcW w:w="584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val="en-GB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val="en-GB" w:bidi="ar"/>
              </w:rPr>
              <w:t>EXR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592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bidi="ar"/>
              </w:rPr>
              <w:t>OILP</w:t>
            </w:r>
          </w:p>
        </w:tc>
        <w:tc>
          <w:tcPr>
            <w:tcW w:w="708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0.081337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*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(0.01095)</w:t>
            </w:r>
          </w:p>
        </w:tc>
        <w:tc>
          <w:tcPr>
            <w:tcW w:w="623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2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3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4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592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bidi="ar"/>
              </w:rPr>
              <w:t>GDP</w:t>
            </w:r>
          </w:p>
        </w:tc>
        <w:tc>
          <w:tcPr>
            <w:tcW w:w="708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-0.001811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*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(0.00251)</w:t>
            </w:r>
          </w:p>
        </w:tc>
        <w:tc>
          <w:tcPr>
            <w:tcW w:w="623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0.025425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(0.00281)</w:t>
            </w:r>
          </w:p>
        </w:tc>
        <w:tc>
          <w:tcPr>
            <w:tcW w:w="623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2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3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4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592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bidi="ar"/>
              </w:rPr>
              <w:t>INV</w:t>
            </w:r>
          </w:p>
        </w:tc>
        <w:tc>
          <w:tcPr>
            <w:tcW w:w="708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-0.001254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*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(0.00461)</w:t>
            </w:r>
          </w:p>
        </w:tc>
        <w:tc>
          <w:tcPr>
            <w:tcW w:w="623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0.006079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*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(0.00541)</w:t>
            </w:r>
          </w:p>
        </w:tc>
        <w:tc>
          <w:tcPr>
            <w:tcW w:w="623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0.017234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*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(0.00057)</w:t>
            </w:r>
          </w:p>
        </w:tc>
        <w:tc>
          <w:tcPr>
            <w:tcW w:w="662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3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4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592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bidi="ar"/>
              </w:rPr>
              <w:t>EXPORT</w:t>
            </w:r>
          </w:p>
        </w:tc>
        <w:tc>
          <w:tcPr>
            <w:tcW w:w="708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0.011995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*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(0.00482)</w:t>
            </w:r>
          </w:p>
        </w:tc>
        <w:tc>
          <w:tcPr>
            <w:tcW w:w="623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0.003008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*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(0.00479)</w:t>
            </w:r>
          </w:p>
        </w:tc>
        <w:tc>
          <w:tcPr>
            <w:tcW w:w="623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0.003469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*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(0.00734)</w:t>
            </w:r>
          </w:p>
        </w:tc>
        <w:tc>
          <w:tcPr>
            <w:tcW w:w="662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0.030165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*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(0.00490)</w:t>
            </w:r>
          </w:p>
        </w:tc>
        <w:tc>
          <w:tcPr>
            <w:tcW w:w="623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3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4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592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bidi="ar"/>
              </w:rPr>
              <w:t>IMPORT</w:t>
            </w:r>
          </w:p>
        </w:tc>
        <w:tc>
          <w:tcPr>
            <w:tcW w:w="708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-0.013779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*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(0.00967)</w:t>
            </w:r>
          </w:p>
        </w:tc>
        <w:tc>
          <w:tcPr>
            <w:tcW w:w="623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0.026271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*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(0.00986)</w:t>
            </w:r>
          </w:p>
        </w:tc>
        <w:tc>
          <w:tcPr>
            <w:tcW w:w="623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0.027520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*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(0.01464)</w:t>
            </w:r>
          </w:p>
        </w:tc>
        <w:tc>
          <w:tcPr>
            <w:tcW w:w="662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-0.0065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9*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(0.00996)</w:t>
            </w:r>
          </w:p>
        </w:tc>
        <w:tc>
          <w:tcPr>
            <w:tcW w:w="623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0.058328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*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(0.01098)</w:t>
            </w:r>
          </w:p>
        </w:tc>
        <w:tc>
          <w:tcPr>
            <w:tcW w:w="583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4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592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bidi="ar"/>
              </w:rPr>
              <w:t>INFR</w:t>
            </w:r>
          </w:p>
        </w:tc>
        <w:tc>
          <w:tcPr>
            <w:tcW w:w="708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-0.261602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(0.36604)</w:t>
            </w:r>
          </w:p>
        </w:tc>
        <w:tc>
          <w:tcPr>
            <w:tcW w:w="623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1.355869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(0.41148)</w:t>
            </w:r>
          </w:p>
        </w:tc>
        <w:tc>
          <w:tcPr>
            <w:tcW w:w="623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-0.252729 (0.54763)</w:t>
            </w:r>
          </w:p>
        </w:tc>
        <w:tc>
          <w:tcPr>
            <w:tcW w:w="662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0.189645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(0.36340)</w:t>
            </w:r>
          </w:p>
        </w:tc>
        <w:tc>
          <w:tcPr>
            <w:tcW w:w="623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0.403300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(0.40032)</w:t>
            </w:r>
          </w:p>
        </w:tc>
        <w:tc>
          <w:tcPr>
            <w:tcW w:w="583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2.588019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(0.28832)</w:t>
            </w:r>
          </w:p>
        </w:tc>
        <w:tc>
          <w:tcPr>
            <w:tcW w:w="584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92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val="en-GB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val="en-GB" w:bidi="ar"/>
              </w:rPr>
              <w:t>EXR</w:t>
            </w:r>
          </w:p>
        </w:tc>
        <w:tc>
          <w:tcPr>
            <w:tcW w:w="708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-2.063221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(0.40360)</w:t>
            </w:r>
          </w:p>
        </w:tc>
        <w:tc>
          <w:tcPr>
            <w:tcW w:w="623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-1.092578 (0.46349)</w:t>
            </w:r>
          </w:p>
        </w:tc>
        <w:tc>
          <w:tcPr>
            <w:tcW w:w="623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-0.133241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(0.59353)</w:t>
            </w:r>
          </w:p>
        </w:tc>
        <w:tc>
          <w:tcPr>
            <w:tcW w:w="662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1.281365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(0.40889)</w:t>
            </w:r>
          </w:p>
        </w:tc>
        <w:tc>
          <w:tcPr>
            <w:tcW w:w="623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-0.791061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(0.38628)</w:t>
            </w:r>
          </w:p>
        </w:tc>
        <w:tc>
          <w:tcPr>
            <w:tcW w:w="583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0.209183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(0.45092)</w:t>
            </w:r>
          </w:p>
        </w:tc>
        <w:tc>
          <w:tcPr>
            <w:tcW w:w="584" w:type="pc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3.372851 (0.45052)</w:t>
            </w:r>
          </w:p>
        </w:tc>
      </w:tr>
    </w:tbl>
    <w:p>
      <w:pPr>
        <w:rPr>
          <w:rFonts w:hint="default" w:ascii="Times New Roman" w:hAnsi="Times New Roman" w:cs="Times New Roman"/>
          <w:sz w:val="22"/>
          <w:szCs w:val="22"/>
          <w:lang w:eastAsia="en-US"/>
        </w:rPr>
      </w:pP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en-GB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en-GB"/>
        </w:rPr>
        <w:object>
          <v:shape id="_x0000_i1025" o:spt="75" type="#_x0000_t75" style="height:330.75pt;width:441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f"/>
            <w10:wrap type="none"/>
            <w10:anchorlock/>
          </v:shape>
          <o:OLEObject Type="Embed" ProgID="EViews.Workfile.2" ShapeID="_x0000_i1025" DrawAspect="Content" ObjectID="_1468075725" r:id="rId6">
            <o:LockedField>false</o:LockedField>
          </o:OLEObject>
        </w:objec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GB"/>
        </w:rPr>
        <w:t>GRAPH 1: Graphical Representation of the Impulse Response Functions</w:t>
      </w:r>
    </w:p>
    <w:p>
      <w:pPr>
        <w:rPr>
          <w:rFonts w:hint="default" w:ascii="Times New Roman" w:hAnsi="Times New Roman" w:cs="Times New Roman"/>
          <w:b/>
          <w:bCs/>
          <w:sz w:val="22"/>
          <w:szCs w:val="22"/>
          <w:lang w:val="en-GB"/>
        </w:rPr>
      </w:pPr>
    </w:p>
    <w:p>
      <w:pPr>
        <w:rPr>
          <w:rFonts w:hint="default" w:ascii="Times New Roman" w:hAnsi="Times New Roman" w:cs="Times New Roman"/>
          <w:b/>
          <w:bCs/>
          <w:sz w:val="22"/>
          <w:szCs w:val="22"/>
          <w:lang w:val="en-GB"/>
        </w:rPr>
      </w:pPr>
    </w:p>
    <w:p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  <w:lang w:val="en-GB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en-GB"/>
        </w:rPr>
        <w:t>TABLE 4: Serial Correlation and Heteroscedasticity Test Result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6"/>
        <w:gridCol w:w="1607"/>
        <w:gridCol w:w="1573"/>
        <w:gridCol w:w="1989"/>
        <w:gridCol w:w="16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6" w:type="dxa"/>
            <w:gridSpan w:val="3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Autocorrelation LM Test</w:t>
            </w:r>
          </w:p>
        </w:tc>
        <w:tc>
          <w:tcPr>
            <w:tcW w:w="3606" w:type="dxa"/>
            <w:gridSpan w:val="2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White Heteroscedasticity Test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6" w:type="dxa"/>
            <w:tcBorders>
              <w:bottom w:val="nil"/>
              <w:right w:val="nil"/>
            </w:tcBorders>
            <w:vAlign w:val="center"/>
          </w:tcPr>
          <w:p>
            <w:pPr>
              <w:widowControl w:val="0"/>
              <w:spacing w:line="360" w:lineRule="auto"/>
              <w:jc w:val="left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Lags</w:t>
            </w:r>
          </w:p>
        </w:tc>
        <w:tc>
          <w:tcPr>
            <w:tcW w:w="1607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LM-Stat</w:t>
            </w:r>
          </w:p>
        </w:tc>
        <w:tc>
          <w:tcPr>
            <w:tcW w:w="1573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Prob</w:t>
            </w:r>
          </w:p>
        </w:tc>
        <w:tc>
          <w:tcPr>
            <w:tcW w:w="1989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line="360" w:lineRule="auto"/>
              <w:jc w:val="left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Chisq</w:t>
            </w:r>
          </w:p>
        </w:tc>
        <w:tc>
          <w:tcPr>
            <w:tcW w:w="1617" w:type="dxa"/>
            <w:tcBorders>
              <w:left w:val="nil"/>
              <w:bottom w:val="nil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1109.993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6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bidi="ar"/>
              </w:rPr>
              <w:t>67.78668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bidi="ar"/>
              </w:rPr>
              <w:t>0.0389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line="360" w:lineRule="auto"/>
              <w:jc w:val="left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Df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1176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6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bidi="ar"/>
              </w:rPr>
              <w:t>100.8054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val="en-GB" w:bidi="ar"/>
              </w:rPr>
              <w:t>.0000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line="360" w:lineRule="auto"/>
              <w:jc w:val="left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Prob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  <w:t>0.9152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6" w:type="dxa"/>
            <w:tcBorders>
              <w:top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bidi="ar"/>
              </w:rPr>
              <w:t>23.55737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  <w:lang w:bidi="ar"/>
              </w:rPr>
              <w:t>0.9992</w:t>
            </w:r>
          </w:p>
        </w:tc>
        <w:tc>
          <w:tcPr>
            <w:tcW w:w="1989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 w:val="0"/>
              <w:spacing w:line="360" w:lineRule="auto"/>
              <w:jc w:val="left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color="auto" w:sz="8" w:space="0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</w:tbl>
    <w:p>
      <w:pPr>
        <w:rPr>
          <w:rFonts w:hint="default" w:ascii="Times New Roman" w:hAnsi="Times New Roman" w:cs="Times New Roman"/>
          <w:b/>
          <w:bCs/>
          <w:sz w:val="22"/>
          <w:szCs w:val="22"/>
          <w:lang w:val="en-GB" w:eastAsia="en-US"/>
        </w:rPr>
      </w:pPr>
    </w:p>
    <w:p>
      <w:pPr>
        <w:rPr>
          <w:rFonts w:hint="default" w:ascii="Times New Roman" w:hAnsi="Times New Roman" w:cs="Times New Roman"/>
          <w:b/>
          <w:bCs/>
          <w:sz w:val="22"/>
          <w:szCs w:val="22"/>
          <w:lang w:val="en-GB" w:eastAsia="en-US"/>
        </w:rPr>
      </w:pPr>
    </w:p>
    <w:p>
      <w:pPr>
        <w:rPr>
          <w:rFonts w:hint="default" w:ascii="Times New Roman" w:hAnsi="Times New Roman" w:cs="Times New Roman"/>
          <w:b/>
          <w:bCs/>
          <w:sz w:val="22"/>
          <w:szCs w:val="22"/>
          <w:lang w:val="en-GB" w:eastAsia="en-US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D67843"/>
    <w:rsid w:val="55D6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emf"/><Relationship Id="rId6" Type="http://schemas.openxmlformats.org/officeDocument/2006/relationships/oleObject" Target="embeddings/oleObject1.bin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Office_11.2.0.9396_F1E327BC-269C-435d-A152-05C5408002CA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2020-06-12T15:32:00Z</dcterms:created>
  <dc:creator>ADESETE AHMED</dc:creator>
  <cp:lastModifiedBy>ADESETE AHMED</cp:lastModifiedBy>
  <dcterms:modified xsi:type="dcterms:W3CDTF">2020-06-12T16:16:40Z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2057-11.2.0.9396</vt:lpwstr>
  </property>
</Properties>
</file>