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  <w:lang w:eastAsia="en-US"/>
        </w:rPr>
        <w:drawing>
          <wp:inline distT="0" distB="0" distL="114300" distR="114300">
            <wp:extent cx="5272405" cy="1990725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sz w:val="22"/>
          <w:szCs w:val="22"/>
          <w:lang w:eastAsia="en-US"/>
        </w:rPr>
        <w:drawing>
          <wp:inline distT="0" distB="0" distL="114300" distR="114300">
            <wp:extent cx="5269230" cy="2915285"/>
            <wp:effectExtent l="0" t="0" r="7620" b="184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2"/>
          <w:szCs w:val="22"/>
          <w:lang w:eastAsia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1: Description and source of data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 </w:t>
      </w:r>
    </w:p>
    <w:tbl>
      <w:tblPr>
        <w:tblStyle w:val="4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021"/>
        <w:gridCol w:w="2949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Variable</w:t>
            </w:r>
          </w:p>
        </w:tc>
        <w:tc>
          <w:tcPr>
            <w:tcW w:w="302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Full Name</w:t>
            </w:r>
          </w:p>
        </w:tc>
        <w:tc>
          <w:tcPr>
            <w:tcW w:w="294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Source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OILP</w:t>
            </w:r>
          </w:p>
        </w:tc>
        <w:tc>
          <w:tcPr>
            <w:tcW w:w="3021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Brent Oil Price</w:t>
            </w:r>
          </w:p>
        </w:tc>
        <w:tc>
          <w:tcPr>
            <w:tcW w:w="294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 xml:space="preserve">UK Brent Oil Price in US dollar per barrel </w:t>
            </w: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CBN Statistical Database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GDP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Nominal GDP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Nigeria GDP in billion Naira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WDI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INV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Investment Expenditure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INV proxied with gross fixed capital formation in billion naira.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WDI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EXPORT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Value of Nigeria’s Export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Value of Nigeria’s Export in local currency units.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WDI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IMPORT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Value of Nigeria’s Import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Value of Nigeria’s Import in local currency units.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WDI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INFR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Annual Inflation rate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Year-on-year inflation rate for Nigeria in Percentage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CBN Statistical Database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16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  <w:t>EXR</w:t>
            </w:r>
          </w:p>
        </w:tc>
        <w:tc>
          <w:tcPr>
            <w:tcW w:w="302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 xml:space="preserve">Official Exchange rate 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 xml:space="preserve">CBN Official Exchange rate in N/$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16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  <w:lang w:eastAsia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2: ADF Unit Root Test Result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717"/>
        <w:gridCol w:w="1788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restar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VARIABLES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ADF Unit Root Test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Order of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Level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First Difference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OILP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0.4829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0.0000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GDP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0.8631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0.0063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INV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0.5775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0.0212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EXPORT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0.8459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0.0000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IMPORT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0.8355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0.0000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INFR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0.0479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0.0000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I(0) and I(1)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  <w:t>EXR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0.9908</w:t>
            </w:r>
          </w:p>
        </w:tc>
        <w:tc>
          <w:tcPr>
            <w:tcW w:w="1788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0.0004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I(1)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  <w:lang w:eastAsia="en-US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3: Long-Term Coefficients Matrix from the Impulse Response Functions</w:t>
      </w:r>
    </w:p>
    <w:tbl>
      <w:tblPr>
        <w:tblStyle w:val="4"/>
        <w:tblW w:w="54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09"/>
        <w:gridCol w:w="1151"/>
        <w:gridCol w:w="1151"/>
        <w:gridCol w:w="1223"/>
        <w:gridCol w:w="1151"/>
        <w:gridCol w:w="1077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OILP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GDP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INV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EXPORT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IMPORT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INFR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  <w:t>EXR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OILP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0.081337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(0.01095)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GDP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-0.001811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(0.00251)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0.025425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(0.00281)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INV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-0.001254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(0.00461)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0.006079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(0.00541)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0.017234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(0.00057)</w:t>
            </w: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EXPORT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0.011995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(0.00482)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0.003008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(0.00479)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0.003469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(0.00734)</w:t>
            </w: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0.030165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(0.00490)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IMPORT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-0.013779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(0.00967)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0.026271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(0.00986)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0.027520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(0.01464)</w:t>
            </w: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-0.0065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9*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(0.00996)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0.058328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(0.01098)</w:t>
            </w: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INFR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-0.261602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(0.36604)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1.355869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(0.41148)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-0.252729 (0.54763)</w:t>
            </w: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0.189645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(0.36340)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0.403300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(0.40032)</w:t>
            </w: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2.588019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(0.28832)</w:t>
            </w: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  <w:t>EXR</w:t>
            </w:r>
          </w:p>
        </w:tc>
        <w:tc>
          <w:tcPr>
            <w:tcW w:w="708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-2.063221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(0.40360)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-1.092578 (0.46349)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-0.133241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(0.59353)</w:t>
            </w:r>
          </w:p>
        </w:tc>
        <w:tc>
          <w:tcPr>
            <w:tcW w:w="662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1.281365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(0.40889)</w:t>
            </w:r>
          </w:p>
        </w:tc>
        <w:tc>
          <w:tcPr>
            <w:tcW w:w="62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-0.791061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(0.38628)</w:t>
            </w:r>
          </w:p>
        </w:tc>
        <w:tc>
          <w:tcPr>
            <w:tcW w:w="583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0.209183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(0.45092)</w:t>
            </w: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3.372851 (0.45052)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  <w:lang w:eastAsia="en-US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object>
          <v:shape id="_x0000_i1025" o:spt="75" type="#_x0000_t75" style="height:330.75pt;width:4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f"/>
            <w10:wrap type="none"/>
            <w10:anchorlock/>
          </v:shape>
          <o:OLEObject Type="Embed" ProgID="EViews.Workfile.2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GRAPH 1: Graphical Representation of the Impulse Response Functions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4: Serial Correlation and Heteroscedasticity Test Result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607"/>
        <w:gridCol w:w="1573"/>
        <w:gridCol w:w="198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6" w:type="dxa"/>
            <w:gridSpan w:val="3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Autocorrelation LM Test</w:t>
            </w:r>
          </w:p>
        </w:tc>
        <w:tc>
          <w:tcPr>
            <w:tcW w:w="3606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White Heteroscedasticity 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Lags</w:t>
            </w:r>
          </w:p>
        </w:tc>
        <w:tc>
          <w:tcPr>
            <w:tcW w:w="160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LM-Stat</w:t>
            </w: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Prob</w:t>
            </w: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Chisq</w:t>
            </w:r>
          </w:p>
        </w:tc>
        <w:tc>
          <w:tcPr>
            <w:tcW w:w="1617" w:type="dxa"/>
            <w:tcBorders>
              <w:left w:val="nil"/>
              <w:bottom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1109.993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67.78668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0.0389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Df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1176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100.8054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GB" w:bidi="ar"/>
              </w:rPr>
              <w:t>.0000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Prob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  <w:t>0.9152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tcBorders>
              <w:top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23.55737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bidi="ar"/>
              </w:rPr>
              <w:t>0.9992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2"/>
          <w:szCs w:val="22"/>
          <w:lang w:val="en-GB" w:eastAsia="en-US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en-GB" w:eastAsia="en-US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en-GB" w:eastAsia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67843"/>
    <w:rsid w:val="55D6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2020-06-12T15:32:00Z</dcterms:created>
  <dc:creator>ADESETE AHMED</dc:creator>
  <cp:lastModifiedBy>ADESETE AHMED</cp:lastModifiedBy>
  <dcterms:modified xsi:type="dcterms:W3CDTF">2020-06-12T16:16:40Z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