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A99F1" w14:textId="4A1D359B" w:rsidR="00EC4690" w:rsidRDefault="00E50247">
      <w:r>
        <w:t xml:space="preserve">Supplementary Files: </w:t>
      </w:r>
    </w:p>
    <w:p w14:paraId="2A313CC9" w14:textId="3DF5C7A2" w:rsidR="00E50247" w:rsidRDefault="00E50247"/>
    <w:p w14:paraId="0A73D791" w14:textId="77777777" w:rsidR="00E50247" w:rsidRPr="003C3785" w:rsidRDefault="00E50247" w:rsidP="00E50247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3C3785">
        <w:rPr>
          <w:rFonts w:ascii="Times New Roman" w:hAnsi="Times New Roman" w:cs="Times New Roman"/>
          <w:sz w:val="24"/>
          <w:szCs w:val="24"/>
        </w:rPr>
        <w:t>Case Analysis: Enron; Ethics, Social Responsibility, and Ethical Accounting as Inferior Goods?</w:t>
      </w:r>
    </w:p>
    <w:p w14:paraId="18F858D0" w14:textId="4A4CDBE3" w:rsidR="00E50247" w:rsidRDefault="00E50247"/>
    <w:p w14:paraId="019C6AFC" w14:textId="6F8A9EF7" w:rsidR="00E50247" w:rsidRDefault="00E50247" w:rsidP="00E50247">
      <w:pPr>
        <w:jc w:val="center"/>
      </w:pPr>
      <w:r w:rsidRPr="003C3785">
        <w:rPr>
          <w:noProof/>
        </w:rPr>
        <w:drawing>
          <wp:inline distT="0" distB="0" distL="0" distR="0" wp14:anchorId="4F042282" wp14:editId="6CACA34D">
            <wp:extent cx="4143023" cy="1954214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8183" cy="197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C5836" w14:textId="35C105A1" w:rsidR="00E50247" w:rsidRDefault="00E50247" w:rsidP="00E50247">
      <w:pPr>
        <w:jc w:val="center"/>
        <w:rPr>
          <w:rStyle w:val="Hyperlink"/>
          <w:b/>
        </w:rPr>
      </w:pPr>
      <w:r w:rsidRPr="003C3785">
        <w:rPr>
          <w:b/>
        </w:rPr>
        <w:t xml:space="preserve">Source: GDP Growth Rate 1995-2020; Trading Economics; </w:t>
      </w:r>
      <w:hyperlink r:id="rId5" w:history="1">
        <w:r w:rsidRPr="003C3785">
          <w:rPr>
            <w:rStyle w:val="Hyperlink"/>
            <w:b/>
          </w:rPr>
          <w:t>https://tradingeconomics.com/united-states/gdp-growth</w:t>
        </w:r>
      </w:hyperlink>
    </w:p>
    <w:p w14:paraId="4901CEA0" w14:textId="6560A17F" w:rsidR="00E50247" w:rsidRDefault="00E50247" w:rsidP="00E50247">
      <w:pPr>
        <w:jc w:val="center"/>
        <w:rPr>
          <w:b/>
        </w:rPr>
      </w:pPr>
    </w:p>
    <w:p w14:paraId="47206904" w14:textId="1BFAABF8" w:rsidR="00E50247" w:rsidRDefault="00E50247" w:rsidP="00E50247">
      <w:pPr>
        <w:jc w:val="center"/>
        <w:rPr>
          <w:b/>
        </w:rPr>
      </w:pPr>
      <w:r w:rsidRPr="003C3785">
        <w:rPr>
          <w:noProof/>
        </w:rPr>
        <w:drawing>
          <wp:inline distT="0" distB="0" distL="0" distR="0" wp14:anchorId="7E1BA19B" wp14:editId="0E3AED05">
            <wp:extent cx="5943600" cy="2733562"/>
            <wp:effectExtent l="0" t="0" r="12700" b="1016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518EDF6-CFE1-8044-9292-B0B66798D2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AA3FD04" w14:textId="6DD95A79" w:rsidR="00E50247" w:rsidRDefault="00E50247" w:rsidP="00E50247">
      <w:pPr>
        <w:jc w:val="center"/>
        <w:rPr>
          <w:b/>
        </w:rPr>
      </w:pPr>
    </w:p>
    <w:p w14:paraId="6EA25C01" w14:textId="77777777" w:rsidR="00E50247" w:rsidRPr="003C3785" w:rsidRDefault="00E50247" w:rsidP="00E50247">
      <w:pPr>
        <w:jc w:val="center"/>
        <w:rPr>
          <w:b/>
        </w:rPr>
      </w:pPr>
      <w:r w:rsidRPr="003C3785">
        <w:rPr>
          <w:b/>
        </w:rPr>
        <w:t xml:space="preserve">Source: NASDAQ 1995-2005; Index Data, Constructed from Yahoo! Historical Data Sets; </w:t>
      </w:r>
      <w:hyperlink r:id="rId7" w:history="1">
        <w:r w:rsidRPr="003C3785">
          <w:rPr>
            <w:rStyle w:val="Hyperlink"/>
            <w:b/>
          </w:rPr>
          <w:t>https://finance.yahoo.com/quote/%5EIXIC/history?p=%5EIXIC</w:t>
        </w:r>
      </w:hyperlink>
    </w:p>
    <w:p w14:paraId="4670C0D4" w14:textId="1C0DE479" w:rsidR="00E50247" w:rsidRDefault="00E50247" w:rsidP="00E50247">
      <w:pPr>
        <w:jc w:val="center"/>
        <w:rPr>
          <w:b/>
        </w:rPr>
      </w:pPr>
    </w:p>
    <w:p w14:paraId="5C02AB4E" w14:textId="580A285A" w:rsidR="00E50247" w:rsidRDefault="00E50247" w:rsidP="00E50247">
      <w:pPr>
        <w:jc w:val="center"/>
        <w:rPr>
          <w:b/>
        </w:rPr>
      </w:pPr>
      <w:r w:rsidRPr="003C3785">
        <w:rPr>
          <w:noProof/>
        </w:rPr>
        <w:lastRenderedPageBreak/>
        <w:drawing>
          <wp:inline distT="0" distB="0" distL="0" distR="0" wp14:anchorId="64B3DF4A" wp14:editId="638A17FC">
            <wp:extent cx="4611757" cy="2548784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20-01-31 at 3.27.47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800" cy="255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499EC" w14:textId="77777777" w:rsidR="00E50247" w:rsidRPr="003C3785" w:rsidRDefault="00E50247" w:rsidP="00E50247">
      <w:pPr>
        <w:jc w:val="center"/>
        <w:rPr>
          <w:b/>
        </w:rPr>
      </w:pPr>
      <w:r w:rsidRPr="003C3785">
        <w:rPr>
          <w:b/>
        </w:rPr>
        <w:t xml:space="preserve">Source: Enron Revenue Comparison, Investopedia, </w:t>
      </w:r>
      <w:hyperlink r:id="rId9" w:history="1">
        <w:r w:rsidRPr="003C3785">
          <w:rPr>
            <w:rStyle w:val="Hyperlink"/>
            <w:b/>
          </w:rPr>
          <w:t>https://www.investopedia.com/updates/enron-scandal-summary/</w:t>
        </w:r>
      </w:hyperlink>
    </w:p>
    <w:p w14:paraId="18BAE654" w14:textId="0504BB82" w:rsidR="00E50247" w:rsidRDefault="00E50247" w:rsidP="00E50247">
      <w:pPr>
        <w:jc w:val="center"/>
        <w:rPr>
          <w:b/>
        </w:rPr>
      </w:pPr>
    </w:p>
    <w:p w14:paraId="219A122A" w14:textId="000A970B" w:rsidR="00E50247" w:rsidRDefault="00E50247" w:rsidP="00E50247">
      <w:pPr>
        <w:jc w:val="center"/>
        <w:rPr>
          <w:b/>
        </w:rPr>
      </w:pPr>
      <w:r w:rsidRPr="003C3785">
        <w:rPr>
          <w:noProof/>
        </w:rPr>
        <w:drawing>
          <wp:inline distT="0" distB="0" distL="0" distR="0" wp14:anchorId="56B4100A" wp14:editId="54D830E4">
            <wp:extent cx="4637314" cy="24269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2020-01-31 at 3.40.31 A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238" cy="244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EEFB" w14:textId="77777777" w:rsidR="00E50247" w:rsidRPr="003C3785" w:rsidRDefault="00E50247" w:rsidP="00E50247">
      <w:pPr>
        <w:jc w:val="center"/>
        <w:rPr>
          <w:b/>
        </w:rPr>
      </w:pPr>
      <w:r w:rsidRPr="003C3785">
        <w:rPr>
          <w:b/>
        </w:rPr>
        <w:t xml:space="preserve">Source: Consumer Confidence, 1995-2018, The Global Economy, </w:t>
      </w:r>
      <w:hyperlink r:id="rId11" w:history="1">
        <w:r w:rsidRPr="003C3785">
          <w:rPr>
            <w:rStyle w:val="Hyperlink"/>
            <w:b/>
          </w:rPr>
          <w:t>https://www.theglobaleconomy.com/USA/consumer_confidence_survey/</w:t>
        </w:r>
      </w:hyperlink>
    </w:p>
    <w:p w14:paraId="31512317" w14:textId="48043789" w:rsidR="00E50247" w:rsidRDefault="00E50247" w:rsidP="00E50247">
      <w:pPr>
        <w:jc w:val="center"/>
        <w:rPr>
          <w:b/>
        </w:rPr>
      </w:pPr>
    </w:p>
    <w:p w14:paraId="64D36D77" w14:textId="59FEB63B" w:rsidR="00E50247" w:rsidRDefault="00E50247" w:rsidP="00E50247">
      <w:pPr>
        <w:jc w:val="center"/>
        <w:rPr>
          <w:b/>
        </w:rPr>
      </w:pPr>
      <w:r w:rsidRPr="003C3785">
        <w:rPr>
          <w:noProof/>
        </w:rPr>
        <w:lastRenderedPageBreak/>
        <w:drawing>
          <wp:inline distT="0" distB="0" distL="0" distR="0" wp14:anchorId="1B6E80C3" wp14:editId="794E6844">
            <wp:extent cx="4131129" cy="2597845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 Shot 2020-01-31 at 3.46.44 A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114" cy="261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1C249" w14:textId="77777777" w:rsidR="00E50247" w:rsidRPr="003C3785" w:rsidRDefault="00E50247" w:rsidP="00E50247">
      <w:pPr>
        <w:jc w:val="center"/>
        <w:rPr>
          <w:b/>
        </w:rPr>
      </w:pPr>
      <w:r w:rsidRPr="003C3785">
        <w:rPr>
          <w:b/>
        </w:rPr>
        <w:t xml:space="preserve">Source: Business Confidence, OECD, The Global Economy, </w:t>
      </w:r>
      <w:hyperlink r:id="rId13" w:history="1">
        <w:r w:rsidRPr="003C3785">
          <w:rPr>
            <w:rStyle w:val="Hyperlink"/>
            <w:b/>
          </w:rPr>
          <w:t>https://www.theglobaleconomy.com/USA/business_confidence_survey/</w:t>
        </w:r>
      </w:hyperlink>
    </w:p>
    <w:p w14:paraId="1BA1E5E7" w14:textId="1C9E4665" w:rsidR="00E50247" w:rsidRDefault="00E50247" w:rsidP="00E50247">
      <w:pPr>
        <w:jc w:val="center"/>
        <w:rPr>
          <w:b/>
        </w:rPr>
      </w:pPr>
    </w:p>
    <w:p w14:paraId="7EFF5D0A" w14:textId="25A14C5C" w:rsidR="00E50247" w:rsidRPr="003C3785" w:rsidRDefault="00E50247" w:rsidP="00E50247">
      <w:pPr>
        <w:jc w:val="center"/>
        <w:rPr>
          <w:b/>
        </w:rPr>
      </w:pPr>
      <w:r w:rsidRPr="003C3785">
        <w:rPr>
          <w:noProof/>
        </w:rPr>
        <w:drawing>
          <wp:inline distT="0" distB="0" distL="0" distR="0" wp14:anchorId="37FB257D" wp14:editId="38D9EB80">
            <wp:extent cx="4809744" cy="3247605"/>
            <wp:effectExtent l="0" t="0" r="381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 Shot 2020-01-31 at 4.07.35 A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605" cy="325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58276" w14:textId="4122814F" w:rsidR="00E50247" w:rsidRDefault="00E50247" w:rsidP="00E50247">
      <w:pPr>
        <w:jc w:val="center"/>
        <w:rPr>
          <w:rStyle w:val="Hyperlink"/>
          <w:b/>
        </w:rPr>
      </w:pPr>
      <w:r w:rsidRPr="003C3785">
        <w:rPr>
          <w:b/>
        </w:rPr>
        <w:t xml:space="preserve">Source: TARP Tracker 2008-2019, U.S. Treasury, </w:t>
      </w:r>
      <w:hyperlink r:id="rId15" w:anchor="All" w:history="1">
        <w:r w:rsidRPr="003C3785">
          <w:rPr>
            <w:rStyle w:val="Hyperlink"/>
            <w:b/>
          </w:rPr>
          <w:t>https://www.treasury.gov/initiatives/financial-stability/reports/Pages/TARP-Tracker.aspx#All</w:t>
        </w:r>
      </w:hyperlink>
    </w:p>
    <w:p w14:paraId="63C7976D" w14:textId="7B0927BB" w:rsidR="00E50247" w:rsidRDefault="00E50247" w:rsidP="00E50247">
      <w:pPr>
        <w:jc w:val="center"/>
        <w:rPr>
          <w:b/>
        </w:rPr>
      </w:pPr>
    </w:p>
    <w:p w14:paraId="294629CB" w14:textId="03BE2A24" w:rsidR="00E50247" w:rsidRPr="003C3785" w:rsidRDefault="00E50247" w:rsidP="00E50247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31634EF1" wp14:editId="49D83F4E">
            <wp:extent cx="5308600" cy="3276600"/>
            <wp:effectExtent l="0" t="0" r="12700" b="1270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4552A161-34DB-4445-AD68-7043F86E5B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bookmarkStart w:id="0" w:name="_GoBack"/>
      <w:bookmarkEnd w:id="0"/>
    </w:p>
    <w:p w14:paraId="34016789" w14:textId="77777777" w:rsidR="00E50247" w:rsidRDefault="00E50247"/>
    <w:sectPr w:rsidR="00E50247" w:rsidSect="003E7D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247"/>
    <w:rsid w:val="00175B4B"/>
    <w:rsid w:val="001761C4"/>
    <w:rsid w:val="002804C3"/>
    <w:rsid w:val="0034708B"/>
    <w:rsid w:val="003E7DD5"/>
    <w:rsid w:val="004079F6"/>
    <w:rsid w:val="00574C17"/>
    <w:rsid w:val="007176E4"/>
    <w:rsid w:val="008432AC"/>
    <w:rsid w:val="008A08BB"/>
    <w:rsid w:val="00AF1F9B"/>
    <w:rsid w:val="00B037C4"/>
    <w:rsid w:val="00E50247"/>
    <w:rsid w:val="00EB6845"/>
    <w:rsid w:val="00FA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FDB14F"/>
  <w15:chartTrackingRefBased/>
  <w15:docId w15:val="{66A5F38F-E34A-954D-8628-BC0FA0D9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247"/>
    <w:pPr>
      <w:tabs>
        <w:tab w:val="center" w:pos="4680"/>
        <w:tab w:val="right" w:pos="9360"/>
      </w:tabs>
      <w:spacing w:after="200" w:line="276" w:lineRule="auto"/>
      <w:jc w:val="both"/>
    </w:pPr>
    <w:rPr>
      <w:rFonts w:eastAsiaTheme="minorEastAsi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50247"/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502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theglobaleconomy.com/USA/business_confidence_survey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inance.yahoo.com/quote/%5EIXIC/history?p=%5EIXIC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hart" Target="charts/chart2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yperlink" Target="https://www.theglobaleconomy.com/USA/consumer_confidence_survey/" TargetMode="External"/><Relationship Id="rId5" Type="http://schemas.openxmlformats.org/officeDocument/2006/relationships/hyperlink" Target="https://tradingeconomics.com/united-states/gdp-growth" TargetMode="External"/><Relationship Id="rId15" Type="http://schemas.openxmlformats.org/officeDocument/2006/relationships/hyperlink" Target="https://www.treasury.gov/initiatives/financial-stability/reports/Pages/TARP-Tracker.aspx" TargetMode="External"/><Relationship Id="rId10" Type="http://schemas.openxmlformats.org/officeDocument/2006/relationships/image" Target="media/image3.png"/><Relationship Id="rId4" Type="http://schemas.openxmlformats.org/officeDocument/2006/relationships/image" Target="media/image1.tiff"/><Relationship Id="rId9" Type="http://schemas.openxmlformats.org/officeDocument/2006/relationships/hyperlink" Target="https://www.investopedia.com/updates/enron-scandal-summary/" TargetMode="External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sanctum/Desktop/University%20of%20Detroit%20Mercy/MBA%20-%20Courses/Ethics/NASDAQ-1995-2005.csv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NASDAQ</a:t>
            </a:r>
            <a:r>
              <a:rPr lang="en-US" baseline="0"/>
              <a:t> 1995-2005</a:t>
            </a:r>
            <a:endParaRPr lang="en-US"/>
          </a:p>
        </c:rich>
      </c:tx>
      <c:layout>
        <c:manualLayout>
          <c:xMode val="edge"/>
          <c:yMode val="edge"/>
          <c:x val="0.34838188976377954"/>
          <c:y val="5.55555555555555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tockChart>
        <c:ser>
          <c:idx val="0"/>
          <c:order val="0"/>
          <c:tx>
            <c:strRef>
              <c:f>'NASDAQ-1995-2005'!$B$1</c:f>
              <c:strCache>
                <c:ptCount val="1"/>
                <c:pt idx="0">
                  <c:v>Open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none"/>
          </c:marker>
          <c:cat>
            <c:numRef>
              <c:f>'NASDAQ-1995-2005'!$A$2:$A$73</c:f>
              <c:numCache>
                <c:formatCode>m/d/yy</c:formatCode>
                <c:ptCount val="72"/>
                <c:pt idx="0">
                  <c:v>36161</c:v>
                </c:pt>
                <c:pt idx="1">
                  <c:v>36192</c:v>
                </c:pt>
                <c:pt idx="2">
                  <c:v>36220</c:v>
                </c:pt>
                <c:pt idx="3">
                  <c:v>36251</c:v>
                </c:pt>
                <c:pt idx="4">
                  <c:v>36281</c:v>
                </c:pt>
                <c:pt idx="5">
                  <c:v>36312</c:v>
                </c:pt>
                <c:pt idx="6">
                  <c:v>36342</c:v>
                </c:pt>
                <c:pt idx="7">
                  <c:v>36373</c:v>
                </c:pt>
                <c:pt idx="8">
                  <c:v>36404</c:v>
                </c:pt>
                <c:pt idx="9">
                  <c:v>36434</c:v>
                </c:pt>
                <c:pt idx="10">
                  <c:v>36465</c:v>
                </c:pt>
                <c:pt idx="11">
                  <c:v>36495</c:v>
                </c:pt>
                <c:pt idx="12">
                  <c:v>36526</c:v>
                </c:pt>
                <c:pt idx="13">
                  <c:v>36557</c:v>
                </c:pt>
                <c:pt idx="14">
                  <c:v>36586</c:v>
                </c:pt>
                <c:pt idx="15">
                  <c:v>36617</c:v>
                </c:pt>
                <c:pt idx="16">
                  <c:v>36647</c:v>
                </c:pt>
                <c:pt idx="17">
                  <c:v>36678</c:v>
                </c:pt>
                <c:pt idx="18">
                  <c:v>36708</c:v>
                </c:pt>
                <c:pt idx="19">
                  <c:v>36739</c:v>
                </c:pt>
                <c:pt idx="20">
                  <c:v>36770</c:v>
                </c:pt>
                <c:pt idx="21">
                  <c:v>36800</c:v>
                </c:pt>
                <c:pt idx="22">
                  <c:v>36831</c:v>
                </c:pt>
                <c:pt idx="23">
                  <c:v>36861</c:v>
                </c:pt>
                <c:pt idx="24">
                  <c:v>36892</c:v>
                </c:pt>
                <c:pt idx="25">
                  <c:v>36923</c:v>
                </c:pt>
                <c:pt idx="26">
                  <c:v>36951</c:v>
                </c:pt>
                <c:pt idx="27">
                  <c:v>36982</c:v>
                </c:pt>
                <c:pt idx="28">
                  <c:v>37012</c:v>
                </c:pt>
                <c:pt idx="29">
                  <c:v>37043</c:v>
                </c:pt>
                <c:pt idx="30">
                  <c:v>37073</c:v>
                </c:pt>
                <c:pt idx="31">
                  <c:v>37104</c:v>
                </c:pt>
                <c:pt idx="32">
                  <c:v>37135</c:v>
                </c:pt>
                <c:pt idx="33">
                  <c:v>37165</c:v>
                </c:pt>
                <c:pt idx="34">
                  <c:v>37196</c:v>
                </c:pt>
                <c:pt idx="35">
                  <c:v>37226</c:v>
                </c:pt>
                <c:pt idx="36">
                  <c:v>37257</c:v>
                </c:pt>
                <c:pt idx="37">
                  <c:v>37288</c:v>
                </c:pt>
                <c:pt idx="38">
                  <c:v>37316</c:v>
                </c:pt>
                <c:pt idx="39">
                  <c:v>37347</c:v>
                </c:pt>
                <c:pt idx="40">
                  <c:v>37377</c:v>
                </c:pt>
                <c:pt idx="41">
                  <c:v>37408</c:v>
                </c:pt>
                <c:pt idx="42">
                  <c:v>37438</c:v>
                </c:pt>
                <c:pt idx="43">
                  <c:v>37469</c:v>
                </c:pt>
                <c:pt idx="44">
                  <c:v>37500</c:v>
                </c:pt>
                <c:pt idx="45">
                  <c:v>37530</c:v>
                </c:pt>
                <c:pt idx="46">
                  <c:v>37561</c:v>
                </c:pt>
                <c:pt idx="47">
                  <c:v>37591</c:v>
                </c:pt>
                <c:pt idx="48">
                  <c:v>37622</c:v>
                </c:pt>
                <c:pt idx="49">
                  <c:v>37653</c:v>
                </c:pt>
                <c:pt idx="50">
                  <c:v>37681</c:v>
                </c:pt>
                <c:pt idx="51">
                  <c:v>37712</c:v>
                </c:pt>
                <c:pt idx="52">
                  <c:v>37742</c:v>
                </c:pt>
                <c:pt idx="53">
                  <c:v>37773</c:v>
                </c:pt>
                <c:pt idx="54">
                  <c:v>37803</c:v>
                </c:pt>
                <c:pt idx="55">
                  <c:v>37834</c:v>
                </c:pt>
                <c:pt idx="56">
                  <c:v>37865</c:v>
                </c:pt>
                <c:pt idx="57">
                  <c:v>37895</c:v>
                </c:pt>
                <c:pt idx="58">
                  <c:v>37926</c:v>
                </c:pt>
                <c:pt idx="59">
                  <c:v>37956</c:v>
                </c:pt>
                <c:pt idx="60">
                  <c:v>37987</c:v>
                </c:pt>
                <c:pt idx="61">
                  <c:v>38018</c:v>
                </c:pt>
                <c:pt idx="62">
                  <c:v>38047</c:v>
                </c:pt>
                <c:pt idx="63">
                  <c:v>38078</c:v>
                </c:pt>
                <c:pt idx="64">
                  <c:v>38108</c:v>
                </c:pt>
                <c:pt idx="65">
                  <c:v>38139</c:v>
                </c:pt>
                <c:pt idx="66">
                  <c:v>38169</c:v>
                </c:pt>
                <c:pt idx="67">
                  <c:v>38200</c:v>
                </c:pt>
                <c:pt idx="68">
                  <c:v>38231</c:v>
                </c:pt>
                <c:pt idx="69">
                  <c:v>38261</c:v>
                </c:pt>
                <c:pt idx="70">
                  <c:v>38292</c:v>
                </c:pt>
                <c:pt idx="71">
                  <c:v>38322</c:v>
                </c:pt>
              </c:numCache>
            </c:numRef>
          </c:cat>
          <c:val>
            <c:numRef>
              <c:f>'NASDAQ-1995-2005'!$B$2:$B$73</c:f>
              <c:numCache>
                <c:formatCode>General</c:formatCode>
                <c:ptCount val="72"/>
                <c:pt idx="0">
                  <c:v>2207.540039</c:v>
                </c:pt>
                <c:pt idx="1">
                  <c:v>2522.3798830000001</c:v>
                </c:pt>
                <c:pt idx="2">
                  <c:v>2286.830078</c:v>
                </c:pt>
                <c:pt idx="3">
                  <c:v>2493.070068</c:v>
                </c:pt>
                <c:pt idx="4">
                  <c:v>2546.330078</c:v>
                </c:pt>
                <c:pt idx="5">
                  <c:v>2467.51001</c:v>
                </c:pt>
                <c:pt idx="6">
                  <c:v>2692.959961</c:v>
                </c:pt>
                <c:pt idx="7">
                  <c:v>2638.3100589999999</c:v>
                </c:pt>
                <c:pt idx="8">
                  <c:v>2752.330078</c:v>
                </c:pt>
                <c:pt idx="9">
                  <c:v>2729.040039</c:v>
                </c:pt>
                <c:pt idx="10">
                  <c:v>2970.929932</c:v>
                </c:pt>
                <c:pt idx="11">
                  <c:v>3341.1000979999999</c:v>
                </c:pt>
                <c:pt idx="12">
                  <c:v>4186.1899409999996</c:v>
                </c:pt>
                <c:pt idx="13">
                  <c:v>3961.070068</c:v>
                </c:pt>
                <c:pt idx="14">
                  <c:v>4732.8198240000002</c:v>
                </c:pt>
                <c:pt idx="15">
                  <c:v>4494.8901370000003</c:v>
                </c:pt>
                <c:pt idx="16">
                  <c:v>3930.179932</c:v>
                </c:pt>
                <c:pt idx="17">
                  <c:v>3471.9499510000001</c:v>
                </c:pt>
                <c:pt idx="18">
                  <c:v>3950.5900879999999</c:v>
                </c:pt>
                <c:pt idx="19">
                  <c:v>3760.9499510000001</c:v>
                </c:pt>
                <c:pt idx="20">
                  <c:v>4252.1499020000001</c:v>
                </c:pt>
                <c:pt idx="21">
                  <c:v>3714.4799800000001</c:v>
                </c:pt>
                <c:pt idx="22">
                  <c:v>3316.51001</c:v>
                </c:pt>
                <c:pt idx="23">
                  <c:v>2644.0900879999999</c:v>
                </c:pt>
                <c:pt idx="24">
                  <c:v>2474.1599120000001</c:v>
                </c:pt>
                <c:pt idx="25">
                  <c:v>2771.570068</c:v>
                </c:pt>
                <c:pt idx="26">
                  <c:v>2126.3000489999999</c:v>
                </c:pt>
                <c:pt idx="27">
                  <c:v>1835.219971</c:v>
                </c:pt>
                <c:pt idx="28">
                  <c:v>2116.23999</c:v>
                </c:pt>
                <c:pt idx="29">
                  <c:v>2131.1201169999999</c:v>
                </c:pt>
                <c:pt idx="30">
                  <c:v>2156.76001</c:v>
                </c:pt>
                <c:pt idx="31">
                  <c:v>2051.5600589999999</c:v>
                </c:pt>
                <c:pt idx="32">
                  <c:v>1802.290039</c:v>
                </c:pt>
                <c:pt idx="33">
                  <c:v>1491.4499510000001</c:v>
                </c:pt>
                <c:pt idx="34">
                  <c:v>1705.5200199999999</c:v>
                </c:pt>
                <c:pt idx="35">
                  <c:v>1915.130005</c:v>
                </c:pt>
                <c:pt idx="36">
                  <c:v>1965.1800539999999</c:v>
                </c:pt>
                <c:pt idx="37">
                  <c:v>1928.829956</c:v>
                </c:pt>
                <c:pt idx="38">
                  <c:v>1745.48999</c:v>
                </c:pt>
                <c:pt idx="39">
                  <c:v>1834.589966</c:v>
                </c:pt>
                <c:pt idx="40">
                  <c:v>1683.76001</c:v>
                </c:pt>
                <c:pt idx="41">
                  <c:v>1613.5</c:v>
                </c:pt>
                <c:pt idx="42">
                  <c:v>1457.040039</c:v>
                </c:pt>
                <c:pt idx="43">
                  <c:v>1322.469971</c:v>
                </c:pt>
                <c:pt idx="44">
                  <c:v>1302.670044</c:v>
                </c:pt>
                <c:pt idx="45">
                  <c:v>1180.26001</c:v>
                </c:pt>
                <c:pt idx="46">
                  <c:v>1320.9499510000001</c:v>
                </c:pt>
                <c:pt idx="47">
                  <c:v>1507.9399410000001</c:v>
                </c:pt>
                <c:pt idx="48">
                  <c:v>1346.9300539999999</c:v>
                </c:pt>
                <c:pt idx="49">
                  <c:v>1324.73999</c:v>
                </c:pt>
                <c:pt idx="50">
                  <c:v>1344.209961</c:v>
                </c:pt>
                <c:pt idx="51">
                  <c:v>1347.540039</c:v>
                </c:pt>
                <c:pt idx="52">
                  <c:v>1463</c:v>
                </c:pt>
                <c:pt idx="53">
                  <c:v>1612.099976</c:v>
                </c:pt>
                <c:pt idx="54">
                  <c:v>1617.3000489999999</c:v>
                </c:pt>
                <c:pt idx="55">
                  <c:v>1731.630005</c:v>
                </c:pt>
                <c:pt idx="56">
                  <c:v>1817.920044</c:v>
                </c:pt>
                <c:pt idx="57">
                  <c:v>1797.0699460000001</c:v>
                </c:pt>
                <c:pt idx="58">
                  <c:v>1941.3100589999999</c:v>
                </c:pt>
                <c:pt idx="59">
                  <c:v>1972.969971</c:v>
                </c:pt>
                <c:pt idx="60">
                  <c:v>2011.079956</c:v>
                </c:pt>
                <c:pt idx="61">
                  <c:v>2072.1298830000001</c:v>
                </c:pt>
                <c:pt idx="62">
                  <c:v>2036.920044</c:v>
                </c:pt>
                <c:pt idx="63">
                  <c:v>1996.4499510000001</c:v>
                </c:pt>
                <c:pt idx="64">
                  <c:v>1928.719971</c:v>
                </c:pt>
                <c:pt idx="65">
                  <c:v>1978.5200199999999</c:v>
                </c:pt>
                <c:pt idx="66">
                  <c:v>2045.530029</c:v>
                </c:pt>
                <c:pt idx="67">
                  <c:v>1874.9300539999999</c:v>
                </c:pt>
                <c:pt idx="68">
                  <c:v>1833.369995</c:v>
                </c:pt>
                <c:pt idx="69">
                  <c:v>1909.589966</c:v>
                </c:pt>
                <c:pt idx="70">
                  <c:v>1975.4799800000001</c:v>
                </c:pt>
                <c:pt idx="71">
                  <c:v>2104.580078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CD-734E-BB5B-155937A789E7}"/>
            </c:ext>
          </c:extLst>
        </c:ser>
        <c:ser>
          <c:idx val="1"/>
          <c:order val="1"/>
          <c:tx>
            <c:strRef>
              <c:f>'NASDAQ-1995-2005'!$C$1</c:f>
              <c:strCache>
                <c:ptCount val="1"/>
                <c:pt idx="0">
                  <c:v>High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none"/>
          </c:marker>
          <c:cat>
            <c:numRef>
              <c:f>'NASDAQ-1995-2005'!$A$2:$A$73</c:f>
              <c:numCache>
                <c:formatCode>m/d/yy</c:formatCode>
                <c:ptCount val="72"/>
                <c:pt idx="0">
                  <c:v>36161</c:v>
                </c:pt>
                <c:pt idx="1">
                  <c:v>36192</c:v>
                </c:pt>
                <c:pt idx="2">
                  <c:v>36220</c:v>
                </c:pt>
                <c:pt idx="3">
                  <c:v>36251</c:v>
                </c:pt>
                <c:pt idx="4">
                  <c:v>36281</c:v>
                </c:pt>
                <c:pt idx="5">
                  <c:v>36312</c:v>
                </c:pt>
                <c:pt idx="6">
                  <c:v>36342</c:v>
                </c:pt>
                <c:pt idx="7">
                  <c:v>36373</c:v>
                </c:pt>
                <c:pt idx="8">
                  <c:v>36404</c:v>
                </c:pt>
                <c:pt idx="9">
                  <c:v>36434</c:v>
                </c:pt>
                <c:pt idx="10">
                  <c:v>36465</c:v>
                </c:pt>
                <c:pt idx="11">
                  <c:v>36495</c:v>
                </c:pt>
                <c:pt idx="12">
                  <c:v>36526</c:v>
                </c:pt>
                <c:pt idx="13">
                  <c:v>36557</c:v>
                </c:pt>
                <c:pt idx="14">
                  <c:v>36586</c:v>
                </c:pt>
                <c:pt idx="15">
                  <c:v>36617</c:v>
                </c:pt>
                <c:pt idx="16">
                  <c:v>36647</c:v>
                </c:pt>
                <c:pt idx="17">
                  <c:v>36678</c:v>
                </c:pt>
                <c:pt idx="18">
                  <c:v>36708</c:v>
                </c:pt>
                <c:pt idx="19">
                  <c:v>36739</c:v>
                </c:pt>
                <c:pt idx="20">
                  <c:v>36770</c:v>
                </c:pt>
                <c:pt idx="21">
                  <c:v>36800</c:v>
                </c:pt>
                <c:pt idx="22">
                  <c:v>36831</c:v>
                </c:pt>
                <c:pt idx="23">
                  <c:v>36861</c:v>
                </c:pt>
                <c:pt idx="24">
                  <c:v>36892</c:v>
                </c:pt>
                <c:pt idx="25">
                  <c:v>36923</c:v>
                </c:pt>
                <c:pt idx="26">
                  <c:v>36951</c:v>
                </c:pt>
                <c:pt idx="27">
                  <c:v>36982</c:v>
                </c:pt>
                <c:pt idx="28">
                  <c:v>37012</c:v>
                </c:pt>
                <c:pt idx="29">
                  <c:v>37043</c:v>
                </c:pt>
                <c:pt idx="30">
                  <c:v>37073</c:v>
                </c:pt>
                <c:pt idx="31">
                  <c:v>37104</c:v>
                </c:pt>
                <c:pt idx="32">
                  <c:v>37135</c:v>
                </c:pt>
                <c:pt idx="33">
                  <c:v>37165</c:v>
                </c:pt>
                <c:pt idx="34">
                  <c:v>37196</c:v>
                </c:pt>
                <c:pt idx="35">
                  <c:v>37226</c:v>
                </c:pt>
                <c:pt idx="36">
                  <c:v>37257</c:v>
                </c:pt>
                <c:pt idx="37">
                  <c:v>37288</c:v>
                </c:pt>
                <c:pt idx="38">
                  <c:v>37316</c:v>
                </c:pt>
                <c:pt idx="39">
                  <c:v>37347</c:v>
                </c:pt>
                <c:pt idx="40">
                  <c:v>37377</c:v>
                </c:pt>
                <c:pt idx="41">
                  <c:v>37408</c:v>
                </c:pt>
                <c:pt idx="42">
                  <c:v>37438</c:v>
                </c:pt>
                <c:pt idx="43">
                  <c:v>37469</c:v>
                </c:pt>
                <c:pt idx="44">
                  <c:v>37500</c:v>
                </c:pt>
                <c:pt idx="45">
                  <c:v>37530</c:v>
                </c:pt>
                <c:pt idx="46">
                  <c:v>37561</c:v>
                </c:pt>
                <c:pt idx="47">
                  <c:v>37591</c:v>
                </c:pt>
                <c:pt idx="48">
                  <c:v>37622</c:v>
                </c:pt>
                <c:pt idx="49">
                  <c:v>37653</c:v>
                </c:pt>
                <c:pt idx="50">
                  <c:v>37681</c:v>
                </c:pt>
                <c:pt idx="51">
                  <c:v>37712</c:v>
                </c:pt>
                <c:pt idx="52">
                  <c:v>37742</c:v>
                </c:pt>
                <c:pt idx="53">
                  <c:v>37773</c:v>
                </c:pt>
                <c:pt idx="54">
                  <c:v>37803</c:v>
                </c:pt>
                <c:pt idx="55">
                  <c:v>37834</c:v>
                </c:pt>
                <c:pt idx="56">
                  <c:v>37865</c:v>
                </c:pt>
                <c:pt idx="57">
                  <c:v>37895</c:v>
                </c:pt>
                <c:pt idx="58">
                  <c:v>37926</c:v>
                </c:pt>
                <c:pt idx="59">
                  <c:v>37956</c:v>
                </c:pt>
                <c:pt idx="60">
                  <c:v>37987</c:v>
                </c:pt>
                <c:pt idx="61">
                  <c:v>38018</c:v>
                </c:pt>
                <c:pt idx="62">
                  <c:v>38047</c:v>
                </c:pt>
                <c:pt idx="63">
                  <c:v>38078</c:v>
                </c:pt>
                <c:pt idx="64">
                  <c:v>38108</c:v>
                </c:pt>
                <c:pt idx="65">
                  <c:v>38139</c:v>
                </c:pt>
                <c:pt idx="66">
                  <c:v>38169</c:v>
                </c:pt>
                <c:pt idx="67">
                  <c:v>38200</c:v>
                </c:pt>
                <c:pt idx="68">
                  <c:v>38231</c:v>
                </c:pt>
                <c:pt idx="69">
                  <c:v>38261</c:v>
                </c:pt>
                <c:pt idx="70">
                  <c:v>38292</c:v>
                </c:pt>
                <c:pt idx="71">
                  <c:v>38322</c:v>
                </c:pt>
              </c:numCache>
            </c:numRef>
          </c:cat>
          <c:val>
            <c:numRef>
              <c:f>'NASDAQ-1995-2005'!$C$2:$C$73</c:f>
              <c:numCache>
                <c:formatCode>General</c:formatCode>
                <c:ptCount val="72"/>
                <c:pt idx="0">
                  <c:v>2506.679932</c:v>
                </c:pt>
                <c:pt idx="1">
                  <c:v>2533.4399410000001</c:v>
                </c:pt>
                <c:pt idx="2">
                  <c:v>2520.6298830000001</c:v>
                </c:pt>
                <c:pt idx="3">
                  <c:v>2677.76001</c:v>
                </c:pt>
                <c:pt idx="4">
                  <c:v>2632.73999</c:v>
                </c:pt>
                <c:pt idx="5">
                  <c:v>2696.8701169999999</c:v>
                </c:pt>
                <c:pt idx="6">
                  <c:v>2874.919922</c:v>
                </c:pt>
                <c:pt idx="7">
                  <c:v>2819.8999020000001</c:v>
                </c:pt>
                <c:pt idx="8">
                  <c:v>2897.530029</c:v>
                </c:pt>
                <c:pt idx="9">
                  <c:v>2978.6298830000001</c:v>
                </c:pt>
                <c:pt idx="10">
                  <c:v>3469.3500979999999</c:v>
                </c:pt>
                <c:pt idx="11">
                  <c:v>4090.610107</c:v>
                </c:pt>
                <c:pt idx="12">
                  <c:v>4303.1499020000001</c:v>
                </c:pt>
                <c:pt idx="13">
                  <c:v>4698.4599609999996</c:v>
                </c:pt>
                <c:pt idx="14">
                  <c:v>5132.5200199999999</c:v>
                </c:pt>
                <c:pt idx="15">
                  <c:v>4572.8398440000001</c:v>
                </c:pt>
                <c:pt idx="16">
                  <c:v>3982.3798830000001</c:v>
                </c:pt>
                <c:pt idx="17">
                  <c:v>4073.7299800000001</c:v>
                </c:pt>
                <c:pt idx="18">
                  <c:v>4289.0600590000004</c:v>
                </c:pt>
                <c:pt idx="19">
                  <c:v>4208.7299800000001</c:v>
                </c:pt>
                <c:pt idx="20">
                  <c:v>4259.8701170000004</c:v>
                </c:pt>
                <c:pt idx="21">
                  <c:v>3714.4799800000001</c:v>
                </c:pt>
                <c:pt idx="22">
                  <c:v>3480.01001</c:v>
                </c:pt>
                <c:pt idx="23">
                  <c:v>3028.75</c:v>
                </c:pt>
                <c:pt idx="24">
                  <c:v>2892.360107</c:v>
                </c:pt>
                <c:pt idx="25">
                  <c:v>2796.889893</c:v>
                </c:pt>
                <c:pt idx="26">
                  <c:v>2243.780029</c:v>
                </c:pt>
                <c:pt idx="27">
                  <c:v>2202.860107</c:v>
                </c:pt>
                <c:pt idx="28">
                  <c:v>2328.0500489999999</c:v>
                </c:pt>
                <c:pt idx="29">
                  <c:v>2264.580078</c:v>
                </c:pt>
                <c:pt idx="30">
                  <c:v>2181.0500489999999</c:v>
                </c:pt>
                <c:pt idx="31">
                  <c:v>2103.1599120000001</c:v>
                </c:pt>
                <c:pt idx="32">
                  <c:v>1836.1899410000001</c:v>
                </c:pt>
                <c:pt idx="33">
                  <c:v>1792.869995</c:v>
                </c:pt>
                <c:pt idx="34">
                  <c:v>1965.089966</c:v>
                </c:pt>
                <c:pt idx="35">
                  <c:v>2065.6899410000001</c:v>
                </c:pt>
                <c:pt idx="36">
                  <c:v>2098.8798830000001</c:v>
                </c:pt>
                <c:pt idx="37">
                  <c:v>1942.150024</c:v>
                </c:pt>
                <c:pt idx="38">
                  <c:v>1946.2299800000001</c:v>
                </c:pt>
                <c:pt idx="39">
                  <c:v>1865.369995</c:v>
                </c:pt>
                <c:pt idx="40">
                  <c:v>1759.329956</c:v>
                </c:pt>
                <c:pt idx="41">
                  <c:v>1621.5</c:v>
                </c:pt>
                <c:pt idx="42">
                  <c:v>1459.839966</c:v>
                </c:pt>
                <c:pt idx="43">
                  <c:v>1426.76001</c:v>
                </c:pt>
                <c:pt idx="44">
                  <c:v>1347.2700199999999</c:v>
                </c:pt>
                <c:pt idx="45">
                  <c:v>1347.579956</c:v>
                </c:pt>
                <c:pt idx="46">
                  <c:v>1497.4399410000001</c:v>
                </c:pt>
                <c:pt idx="47">
                  <c:v>1521.4399410000001</c:v>
                </c:pt>
                <c:pt idx="48">
                  <c:v>1467.349976</c:v>
                </c:pt>
                <c:pt idx="49">
                  <c:v>1352.0699460000001</c:v>
                </c:pt>
                <c:pt idx="50">
                  <c:v>1425.7299800000001</c:v>
                </c:pt>
                <c:pt idx="51">
                  <c:v>1482.48999</c:v>
                </c:pt>
                <c:pt idx="52">
                  <c:v>1599.920044</c:v>
                </c:pt>
                <c:pt idx="53">
                  <c:v>1686.099976</c:v>
                </c:pt>
                <c:pt idx="54">
                  <c:v>1776.099976</c:v>
                </c:pt>
                <c:pt idx="55">
                  <c:v>1813.8199460000001</c:v>
                </c:pt>
                <c:pt idx="56">
                  <c:v>1913.73999</c:v>
                </c:pt>
                <c:pt idx="57">
                  <c:v>1966.869995</c:v>
                </c:pt>
                <c:pt idx="58">
                  <c:v>1992.2700199999999</c:v>
                </c:pt>
                <c:pt idx="59">
                  <c:v>2015.2299800000001</c:v>
                </c:pt>
                <c:pt idx="60">
                  <c:v>2153.830078</c:v>
                </c:pt>
                <c:pt idx="61">
                  <c:v>2094.919922</c:v>
                </c:pt>
                <c:pt idx="62">
                  <c:v>2069.0200199999999</c:v>
                </c:pt>
                <c:pt idx="63">
                  <c:v>2079.1201169999999</c:v>
                </c:pt>
                <c:pt idx="64">
                  <c:v>1991.869995</c:v>
                </c:pt>
                <c:pt idx="65">
                  <c:v>2055.6499020000001</c:v>
                </c:pt>
                <c:pt idx="66">
                  <c:v>2045.530029</c:v>
                </c:pt>
                <c:pt idx="67">
                  <c:v>1893.130005</c:v>
                </c:pt>
                <c:pt idx="68">
                  <c:v>1925.849976</c:v>
                </c:pt>
                <c:pt idx="69">
                  <c:v>1984.1800539999999</c:v>
                </c:pt>
                <c:pt idx="70">
                  <c:v>2117.889893</c:v>
                </c:pt>
                <c:pt idx="71">
                  <c:v>2185.5600589999999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CD-734E-BB5B-155937A789E7}"/>
            </c:ext>
          </c:extLst>
        </c:ser>
        <c:ser>
          <c:idx val="2"/>
          <c:order val="2"/>
          <c:tx>
            <c:strRef>
              <c:f>'NASDAQ-1995-2005'!$D$1</c:f>
              <c:strCache>
                <c:ptCount val="1"/>
                <c:pt idx="0">
                  <c:v>Low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none"/>
          </c:marker>
          <c:cat>
            <c:numRef>
              <c:f>'NASDAQ-1995-2005'!$A$2:$A$73</c:f>
              <c:numCache>
                <c:formatCode>m/d/yy</c:formatCode>
                <c:ptCount val="72"/>
                <c:pt idx="0">
                  <c:v>36161</c:v>
                </c:pt>
                <c:pt idx="1">
                  <c:v>36192</c:v>
                </c:pt>
                <c:pt idx="2">
                  <c:v>36220</c:v>
                </c:pt>
                <c:pt idx="3">
                  <c:v>36251</c:v>
                </c:pt>
                <c:pt idx="4">
                  <c:v>36281</c:v>
                </c:pt>
                <c:pt idx="5">
                  <c:v>36312</c:v>
                </c:pt>
                <c:pt idx="6">
                  <c:v>36342</c:v>
                </c:pt>
                <c:pt idx="7">
                  <c:v>36373</c:v>
                </c:pt>
                <c:pt idx="8">
                  <c:v>36404</c:v>
                </c:pt>
                <c:pt idx="9">
                  <c:v>36434</c:v>
                </c:pt>
                <c:pt idx="10">
                  <c:v>36465</c:v>
                </c:pt>
                <c:pt idx="11">
                  <c:v>36495</c:v>
                </c:pt>
                <c:pt idx="12">
                  <c:v>36526</c:v>
                </c:pt>
                <c:pt idx="13">
                  <c:v>36557</c:v>
                </c:pt>
                <c:pt idx="14">
                  <c:v>36586</c:v>
                </c:pt>
                <c:pt idx="15">
                  <c:v>36617</c:v>
                </c:pt>
                <c:pt idx="16">
                  <c:v>36647</c:v>
                </c:pt>
                <c:pt idx="17">
                  <c:v>36678</c:v>
                </c:pt>
                <c:pt idx="18">
                  <c:v>36708</c:v>
                </c:pt>
                <c:pt idx="19">
                  <c:v>36739</c:v>
                </c:pt>
                <c:pt idx="20">
                  <c:v>36770</c:v>
                </c:pt>
                <c:pt idx="21">
                  <c:v>36800</c:v>
                </c:pt>
                <c:pt idx="22">
                  <c:v>36831</c:v>
                </c:pt>
                <c:pt idx="23">
                  <c:v>36861</c:v>
                </c:pt>
                <c:pt idx="24">
                  <c:v>36892</c:v>
                </c:pt>
                <c:pt idx="25">
                  <c:v>36923</c:v>
                </c:pt>
                <c:pt idx="26">
                  <c:v>36951</c:v>
                </c:pt>
                <c:pt idx="27">
                  <c:v>36982</c:v>
                </c:pt>
                <c:pt idx="28">
                  <c:v>37012</c:v>
                </c:pt>
                <c:pt idx="29">
                  <c:v>37043</c:v>
                </c:pt>
                <c:pt idx="30">
                  <c:v>37073</c:v>
                </c:pt>
                <c:pt idx="31">
                  <c:v>37104</c:v>
                </c:pt>
                <c:pt idx="32">
                  <c:v>37135</c:v>
                </c:pt>
                <c:pt idx="33">
                  <c:v>37165</c:v>
                </c:pt>
                <c:pt idx="34">
                  <c:v>37196</c:v>
                </c:pt>
                <c:pt idx="35">
                  <c:v>37226</c:v>
                </c:pt>
                <c:pt idx="36">
                  <c:v>37257</c:v>
                </c:pt>
                <c:pt idx="37">
                  <c:v>37288</c:v>
                </c:pt>
                <c:pt idx="38">
                  <c:v>37316</c:v>
                </c:pt>
                <c:pt idx="39">
                  <c:v>37347</c:v>
                </c:pt>
                <c:pt idx="40">
                  <c:v>37377</c:v>
                </c:pt>
                <c:pt idx="41">
                  <c:v>37408</c:v>
                </c:pt>
                <c:pt idx="42">
                  <c:v>37438</c:v>
                </c:pt>
                <c:pt idx="43">
                  <c:v>37469</c:v>
                </c:pt>
                <c:pt idx="44">
                  <c:v>37500</c:v>
                </c:pt>
                <c:pt idx="45">
                  <c:v>37530</c:v>
                </c:pt>
                <c:pt idx="46">
                  <c:v>37561</c:v>
                </c:pt>
                <c:pt idx="47">
                  <c:v>37591</c:v>
                </c:pt>
                <c:pt idx="48">
                  <c:v>37622</c:v>
                </c:pt>
                <c:pt idx="49">
                  <c:v>37653</c:v>
                </c:pt>
                <c:pt idx="50">
                  <c:v>37681</c:v>
                </c:pt>
                <c:pt idx="51">
                  <c:v>37712</c:v>
                </c:pt>
                <c:pt idx="52">
                  <c:v>37742</c:v>
                </c:pt>
                <c:pt idx="53">
                  <c:v>37773</c:v>
                </c:pt>
                <c:pt idx="54">
                  <c:v>37803</c:v>
                </c:pt>
                <c:pt idx="55">
                  <c:v>37834</c:v>
                </c:pt>
                <c:pt idx="56">
                  <c:v>37865</c:v>
                </c:pt>
                <c:pt idx="57">
                  <c:v>37895</c:v>
                </c:pt>
                <c:pt idx="58">
                  <c:v>37926</c:v>
                </c:pt>
                <c:pt idx="59">
                  <c:v>37956</c:v>
                </c:pt>
                <c:pt idx="60">
                  <c:v>37987</c:v>
                </c:pt>
                <c:pt idx="61">
                  <c:v>38018</c:v>
                </c:pt>
                <c:pt idx="62">
                  <c:v>38047</c:v>
                </c:pt>
                <c:pt idx="63">
                  <c:v>38078</c:v>
                </c:pt>
                <c:pt idx="64">
                  <c:v>38108</c:v>
                </c:pt>
                <c:pt idx="65">
                  <c:v>38139</c:v>
                </c:pt>
                <c:pt idx="66">
                  <c:v>38169</c:v>
                </c:pt>
                <c:pt idx="67">
                  <c:v>38200</c:v>
                </c:pt>
                <c:pt idx="68">
                  <c:v>38231</c:v>
                </c:pt>
                <c:pt idx="69">
                  <c:v>38261</c:v>
                </c:pt>
                <c:pt idx="70">
                  <c:v>38292</c:v>
                </c:pt>
                <c:pt idx="71">
                  <c:v>38322</c:v>
                </c:pt>
              </c:numCache>
            </c:numRef>
          </c:cat>
          <c:val>
            <c:numRef>
              <c:f>'NASDAQ-1995-2005'!$D$2:$D$73</c:f>
              <c:numCache>
                <c:formatCode>General</c:formatCode>
                <c:ptCount val="72"/>
                <c:pt idx="0">
                  <c:v>2192.679932</c:v>
                </c:pt>
                <c:pt idx="1">
                  <c:v>2224.209961</c:v>
                </c:pt>
                <c:pt idx="2">
                  <c:v>2235.1899410000001</c:v>
                </c:pt>
                <c:pt idx="3">
                  <c:v>2329.8701169999999</c:v>
                </c:pt>
                <c:pt idx="4">
                  <c:v>2339.1201169999999</c:v>
                </c:pt>
                <c:pt idx="5">
                  <c:v>2364.5900879999999</c:v>
                </c:pt>
                <c:pt idx="6">
                  <c:v>2619.080078</c:v>
                </c:pt>
                <c:pt idx="7">
                  <c:v>2442.219971</c:v>
                </c:pt>
                <c:pt idx="8">
                  <c:v>2684.6999510000001</c:v>
                </c:pt>
                <c:pt idx="9">
                  <c:v>2632.01001</c:v>
                </c:pt>
                <c:pt idx="10">
                  <c:v>2967.6298830000001</c:v>
                </c:pt>
                <c:pt idx="11">
                  <c:v>3321.570068</c:v>
                </c:pt>
                <c:pt idx="12">
                  <c:v>3711.0900879999999</c:v>
                </c:pt>
                <c:pt idx="13">
                  <c:v>3911.8400879999999</c:v>
                </c:pt>
                <c:pt idx="14">
                  <c:v>4355.6899409999996</c:v>
                </c:pt>
                <c:pt idx="15">
                  <c:v>3227.040039</c:v>
                </c:pt>
                <c:pt idx="16">
                  <c:v>3042.6599120000001</c:v>
                </c:pt>
                <c:pt idx="17">
                  <c:v>3459.8500979999999</c:v>
                </c:pt>
                <c:pt idx="18">
                  <c:v>3615.790039</c:v>
                </c:pt>
                <c:pt idx="19">
                  <c:v>3521.139893</c:v>
                </c:pt>
                <c:pt idx="20">
                  <c:v>3614.6599120000001</c:v>
                </c:pt>
                <c:pt idx="21">
                  <c:v>3026.110107</c:v>
                </c:pt>
                <c:pt idx="22">
                  <c:v>2523.040039</c:v>
                </c:pt>
                <c:pt idx="23">
                  <c:v>2288.1599120000001</c:v>
                </c:pt>
                <c:pt idx="24">
                  <c:v>2251.709961</c:v>
                </c:pt>
                <c:pt idx="25">
                  <c:v>2127.5</c:v>
                </c:pt>
                <c:pt idx="26">
                  <c:v>1794.209961</c:v>
                </c:pt>
                <c:pt idx="27">
                  <c:v>1619.579956</c:v>
                </c:pt>
                <c:pt idx="28">
                  <c:v>2052.4099120000001</c:v>
                </c:pt>
                <c:pt idx="29">
                  <c:v>1973.6999510000001</c:v>
                </c:pt>
                <c:pt idx="30">
                  <c:v>1934.670044</c:v>
                </c:pt>
                <c:pt idx="31">
                  <c:v>1777.1099850000001</c:v>
                </c:pt>
                <c:pt idx="32">
                  <c:v>1387.0600589999999</c:v>
                </c:pt>
                <c:pt idx="33">
                  <c:v>1458.410034</c:v>
                </c:pt>
                <c:pt idx="34">
                  <c:v>1683.98999</c:v>
                </c:pt>
                <c:pt idx="35">
                  <c:v>1898.9799800000001</c:v>
                </c:pt>
                <c:pt idx="36">
                  <c:v>1851.48999</c:v>
                </c:pt>
                <c:pt idx="37">
                  <c:v>1696.5500489999999</c:v>
                </c:pt>
                <c:pt idx="38">
                  <c:v>1742.079956</c:v>
                </c:pt>
                <c:pt idx="39">
                  <c:v>1640.969971</c:v>
                </c:pt>
                <c:pt idx="40">
                  <c:v>1560.290039</c:v>
                </c:pt>
                <c:pt idx="41">
                  <c:v>1375.530029</c:v>
                </c:pt>
                <c:pt idx="42">
                  <c:v>1192.420044</c:v>
                </c:pt>
                <c:pt idx="43">
                  <c:v>1205.6800539999999</c:v>
                </c:pt>
                <c:pt idx="44">
                  <c:v>1160.0699460000001</c:v>
                </c:pt>
                <c:pt idx="45">
                  <c:v>1108.48999</c:v>
                </c:pt>
                <c:pt idx="46">
                  <c:v>1313.719971</c:v>
                </c:pt>
                <c:pt idx="47">
                  <c:v>1327.1899410000001</c:v>
                </c:pt>
                <c:pt idx="48">
                  <c:v>1303.6400149999999</c:v>
                </c:pt>
                <c:pt idx="49">
                  <c:v>1261.790039</c:v>
                </c:pt>
                <c:pt idx="50">
                  <c:v>1253.219971</c:v>
                </c:pt>
                <c:pt idx="51">
                  <c:v>1338.2299800000001</c:v>
                </c:pt>
                <c:pt idx="52">
                  <c:v>1451.3199460000001</c:v>
                </c:pt>
                <c:pt idx="53">
                  <c:v>1584.6999510000001</c:v>
                </c:pt>
                <c:pt idx="54">
                  <c:v>1598.920044</c:v>
                </c:pt>
                <c:pt idx="55">
                  <c:v>1640.880005</c:v>
                </c:pt>
                <c:pt idx="56">
                  <c:v>1783.459961</c:v>
                </c:pt>
                <c:pt idx="57">
                  <c:v>1796.089966</c:v>
                </c:pt>
                <c:pt idx="58">
                  <c:v>1878.0699460000001</c:v>
                </c:pt>
                <c:pt idx="59">
                  <c:v>1887.459961</c:v>
                </c:pt>
                <c:pt idx="60">
                  <c:v>1999.7700199999999</c:v>
                </c:pt>
                <c:pt idx="61">
                  <c:v>1991.0500489999999</c:v>
                </c:pt>
                <c:pt idx="62">
                  <c:v>1896.910034</c:v>
                </c:pt>
                <c:pt idx="63">
                  <c:v>1919.3900149999999</c:v>
                </c:pt>
                <c:pt idx="64">
                  <c:v>1865.400024</c:v>
                </c:pt>
                <c:pt idx="65">
                  <c:v>1960.26001</c:v>
                </c:pt>
                <c:pt idx="66">
                  <c:v>1829.0600589999999</c:v>
                </c:pt>
                <c:pt idx="67">
                  <c:v>1750.8199460000001</c:v>
                </c:pt>
                <c:pt idx="68">
                  <c:v>1833.329956</c:v>
                </c:pt>
                <c:pt idx="69">
                  <c:v>1899.329956</c:v>
                </c:pt>
                <c:pt idx="70">
                  <c:v>1969.3199460000001</c:v>
                </c:pt>
                <c:pt idx="71">
                  <c:v>2097.860107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1CD-734E-BB5B-155937A789E7}"/>
            </c:ext>
          </c:extLst>
        </c:ser>
        <c:ser>
          <c:idx val="3"/>
          <c:order val="3"/>
          <c:tx>
            <c:strRef>
              <c:f>'NASDAQ-1995-2005'!$E$1</c:f>
              <c:strCache>
                <c:ptCount val="1"/>
                <c:pt idx="0">
                  <c:v>Close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none"/>
          </c:marker>
          <c:cat>
            <c:numRef>
              <c:f>'NASDAQ-1995-2005'!$A$2:$A$73</c:f>
              <c:numCache>
                <c:formatCode>m/d/yy</c:formatCode>
                <c:ptCount val="72"/>
                <c:pt idx="0">
                  <c:v>36161</c:v>
                </c:pt>
                <c:pt idx="1">
                  <c:v>36192</c:v>
                </c:pt>
                <c:pt idx="2">
                  <c:v>36220</c:v>
                </c:pt>
                <c:pt idx="3">
                  <c:v>36251</c:v>
                </c:pt>
                <c:pt idx="4">
                  <c:v>36281</c:v>
                </c:pt>
                <c:pt idx="5">
                  <c:v>36312</c:v>
                </c:pt>
                <c:pt idx="6">
                  <c:v>36342</c:v>
                </c:pt>
                <c:pt idx="7">
                  <c:v>36373</c:v>
                </c:pt>
                <c:pt idx="8">
                  <c:v>36404</c:v>
                </c:pt>
                <c:pt idx="9">
                  <c:v>36434</c:v>
                </c:pt>
                <c:pt idx="10">
                  <c:v>36465</c:v>
                </c:pt>
                <c:pt idx="11">
                  <c:v>36495</c:v>
                </c:pt>
                <c:pt idx="12">
                  <c:v>36526</c:v>
                </c:pt>
                <c:pt idx="13">
                  <c:v>36557</c:v>
                </c:pt>
                <c:pt idx="14">
                  <c:v>36586</c:v>
                </c:pt>
                <c:pt idx="15">
                  <c:v>36617</c:v>
                </c:pt>
                <c:pt idx="16">
                  <c:v>36647</c:v>
                </c:pt>
                <c:pt idx="17">
                  <c:v>36678</c:v>
                </c:pt>
                <c:pt idx="18">
                  <c:v>36708</c:v>
                </c:pt>
                <c:pt idx="19">
                  <c:v>36739</c:v>
                </c:pt>
                <c:pt idx="20">
                  <c:v>36770</c:v>
                </c:pt>
                <c:pt idx="21">
                  <c:v>36800</c:v>
                </c:pt>
                <c:pt idx="22">
                  <c:v>36831</c:v>
                </c:pt>
                <c:pt idx="23">
                  <c:v>36861</c:v>
                </c:pt>
                <c:pt idx="24">
                  <c:v>36892</c:v>
                </c:pt>
                <c:pt idx="25">
                  <c:v>36923</c:v>
                </c:pt>
                <c:pt idx="26">
                  <c:v>36951</c:v>
                </c:pt>
                <c:pt idx="27">
                  <c:v>36982</c:v>
                </c:pt>
                <c:pt idx="28">
                  <c:v>37012</c:v>
                </c:pt>
                <c:pt idx="29">
                  <c:v>37043</c:v>
                </c:pt>
                <c:pt idx="30">
                  <c:v>37073</c:v>
                </c:pt>
                <c:pt idx="31">
                  <c:v>37104</c:v>
                </c:pt>
                <c:pt idx="32">
                  <c:v>37135</c:v>
                </c:pt>
                <c:pt idx="33">
                  <c:v>37165</c:v>
                </c:pt>
                <c:pt idx="34">
                  <c:v>37196</c:v>
                </c:pt>
                <c:pt idx="35">
                  <c:v>37226</c:v>
                </c:pt>
                <c:pt idx="36">
                  <c:v>37257</c:v>
                </c:pt>
                <c:pt idx="37">
                  <c:v>37288</c:v>
                </c:pt>
                <c:pt idx="38">
                  <c:v>37316</c:v>
                </c:pt>
                <c:pt idx="39">
                  <c:v>37347</c:v>
                </c:pt>
                <c:pt idx="40">
                  <c:v>37377</c:v>
                </c:pt>
                <c:pt idx="41">
                  <c:v>37408</c:v>
                </c:pt>
                <c:pt idx="42">
                  <c:v>37438</c:v>
                </c:pt>
                <c:pt idx="43">
                  <c:v>37469</c:v>
                </c:pt>
                <c:pt idx="44">
                  <c:v>37500</c:v>
                </c:pt>
                <c:pt idx="45">
                  <c:v>37530</c:v>
                </c:pt>
                <c:pt idx="46">
                  <c:v>37561</c:v>
                </c:pt>
                <c:pt idx="47">
                  <c:v>37591</c:v>
                </c:pt>
                <c:pt idx="48">
                  <c:v>37622</c:v>
                </c:pt>
                <c:pt idx="49">
                  <c:v>37653</c:v>
                </c:pt>
                <c:pt idx="50">
                  <c:v>37681</c:v>
                </c:pt>
                <c:pt idx="51">
                  <c:v>37712</c:v>
                </c:pt>
                <c:pt idx="52">
                  <c:v>37742</c:v>
                </c:pt>
                <c:pt idx="53">
                  <c:v>37773</c:v>
                </c:pt>
                <c:pt idx="54">
                  <c:v>37803</c:v>
                </c:pt>
                <c:pt idx="55">
                  <c:v>37834</c:v>
                </c:pt>
                <c:pt idx="56">
                  <c:v>37865</c:v>
                </c:pt>
                <c:pt idx="57">
                  <c:v>37895</c:v>
                </c:pt>
                <c:pt idx="58">
                  <c:v>37926</c:v>
                </c:pt>
                <c:pt idx="59">
                  <c:v>37956</c:v>
                </c:pt>
                <c:pt idx="60">
                  <c:v>37987</c:v>
                </c:pt>
                <c:pt idx="61">
                  <c:v>38018</c:v>
                </c:pt>
                <c:pt idx="62">
                  <c:v>38047</c:v>
                </c:pt>
                <c:pt idx="63">
                  <c:v>38078</c:v>
                </c:pt>
                <c:pt idx="64">
                  <c:v>38108</c:v>
                </c:pt>
                <c:pt idx="65">
                  <c:v>38139</c:v>
                </c:pt>
                <c:pt idx="66">
                  <c:v>38169</c:v>
                </c:pt>
                <c:pt idx="67">
                  <c:v>38200</c:v>
                </c:pt>
                <c:pt idx="68">
                  <c:v>38231</c:v>
                </c:pt>
                <c:pt idx="69">
                  <c:v>38261</c:v>
                </c:pt>
                <c:pt idx="70">
                  <c:v>38292</c:v>
                </c:pt>
                <c:pt idx="71">
                  <c:v>38322</c:v>
                </c:pt>
              </c:numCache>
            </c:numRef>
          </c:cat>
          <c:val>
            <c:numRef>
              <c:f>'NASDAQ-1995-2005'!$E$2:$E$73</c:f>
              <c:numCache>
                <c:formatCode>General</c:formatCode>
                <c:ptCount val="72"/>
                <c:pt idx="0">
                  <c:v>2505.889893</c:v>
                </c:pt>
                <c:pt idx="1">
                  <c:v>2288.030029</c:v>
                </c:pt>
                <c:pt idx="2">
                  <c:v>2461.3999020000001</c:v>
                </c:pt>
                <c:pt idx="3">
                  <c:v>2542.860107</c:v>
                </c:pt>
                <c:pt idx="4">
                  <c:v>2470.5200199999999</c:v>
                </c:pt>
                <c:pt idx="5">
                  <c:v>2686.1201169999999</c:v>
                </c:pt>
                <c:pt idx="6">
                  <c:v>2638.48999</c:v>
                </c:pt>
                <c:pt idx="7">
                  <c:v>2739.3500979999999</c:v>
                </c:pt>
                <c:pt idx="8">
                  <c:v>2746.1599120000001</c:v>
                </c:pt>
                <c:pt idx="9">
                  <c:v>2966.429932</c:v>
                </c:pt>
                <c:pt idx="10">
                  <c:v>3336.1599120000001</c:v>
                </c:pt>
                <c:pt idx="11">
                  <c:v>4069.3100589999999</c:v>
                </c:pt>
                <c:pt idx="12">
                  <c:v>3940.3500979999999</c:v>
                </c:pt>
                <c:pt idx="13">
                  <c:v>4696.6899409999996</c:v>
                </c:pt>
                <c:pt idx="14">
                  <c:v>4572.830078</c:v>
                </c:pt>
                <c:pt idx="15">
                  <c:v>3860.6599120000001</c:v>
                </c:pt>
                <c:pt idx="16">
                  <c:v>3400.9099120000001</c:v>
                </c:pt>
                <c:pt idx="17">
                  <c:v>3966.110107</c:v>
                </c:pt>
                <c:pt idx="18">
                  <c:v>3766.98999</c:v>
                </c:pt>
                <c:pt idx="19">
                  <c:v>4206.3500979999999</c:v>
                </c:pt>
                <c:pt idx="20">
                  <c:v>3672.820068</c:v>
                </c:pt>
                <c:pt idx="21">
                  <c:v>3369.6298830000001</c:v>
                </c:pt>
                <c:pt idx="22">
                  <c:v>2597.929932</c:v>
                </c:pt>
                <c:pt idx="23">
                  <c:v>2470.5200199999999</c:v>
                </c:pt>
                <c:pt idx="24">
                  <c:v>2772.7299800000001</c:v>
                </c:pt>
                <c:pt idx="25">
                  <c:v>2151.830078</c:v>
                </c:pt>
                <c:pt idx="26">
                  <c:v>1840.26001</c:v>
                </c:pt>
                <c:pt idx="27">
                  <c:v>2116.23999</c:v>
                </c:pt>
                <c:pt idx="28">
                  <c:v>2110.48999</c:v>
                </c:pt>
                <c:pt idx="29">
                  <c:v>2160.540039</c:v>
                </c:pt>
                <c:pt idx="30">
                  <c:v>2027.130005</c:v>
                </c:pt>
                <c:pt idx="31">
                  <c:v>1805.4300539999999</c:v>
                </c:pt>
                <c:pt idx="32">
                  <c:v>1498.8000489999999</c:v>
                </c:pt>
                <c:pt idx="33">
                  <c:v>1690.1999510000001</c:v>
                </c:pt>
                <c:pt idx="34">
                  <c:v>1930.579956</c:v>
                </c:pt>
                <c:pt idx="35">
                  <c:v>1950.400024</c:v>
                </c:pt>
                <c:pt idx="36">
                  <c:v>1934.030029</c:v>
                </c:pt>
                <c:pt idx="37">
                  <c:v>1731.48999</c:v>
                </c:pt>
                <c:pt idx="38">
                  <c:v>1845.349976</c:v>
                </c:pt>
                <c:pt idx="39">
                  <c:v>1688.2299800000001</c:v>
                </c:pt>
                <c:pt idx="40">
                  <c:v>1615.7299800000001</c:v>
                </c:pt>
                <c:pt idx="41">
                  <c:v>1463.209961</c:v>
                </c:pt>
                <c:pt idx="42">
                  <c:v>1328.26001</c:v>
                </c:pt>
                <c:pt idx="43">
                  <c:v>1314.849976</c:v>
                </c:pt>
                <c:pt idx="44">
                  <c:v>1172.0600589999999</c:v>
                </c:pt>
                <c:pt idx="45">
                  <c:v>1329.75</c:v>
                </c:pt>
                <c:pt idx="46">
                  <c:v>1478.780029</c:v>
                </c:pt>
                <c:pt idx="47">
                  <c:v>1335.51001</c:v>
                </c:pt>
                <c:pt idx="48">
                  <c:v>1320.910034</c:v>
                </c:pt>
                <c:pt idx="49">
                  <c:v>1337.5200199999999</c:v>
                </c:pt>
                <c:pt idx="50">
                  <c:v>1341.170044</c:v>
                </c:pt>
                <c:pt idx="51">
                  <c:v>1464.3100589999999</c:v>
                </c:pt>
                <c:pt idx="52">
                  <c:v>1595.910034</c:v>
                </c:pt>
                <c:pt idx="53">
                  <c:v>1622.8000489999999</c:v>
                </c:pt>
                <c:pt idx="54">
                  <c:v>1735.0200199999999</c:v>
                </c:pt>
                <c:pt idx="55">
                  <c:v>1810.4499510000001</c:v>
                </c:pt>
                <c:pt idx="56">
                  <c:v>1786.9399410000001</c:v>
                </c:pt>
                <c:pt idx="57">
                  <c:v>1932.209961</c:v>
                </c:pt>
                <c:pt idx="58">
                  <c:v>1960.26001</c:v>
                </c:pt>
                <c:pt idx="59">
                  <c:v>2003.369995</c:v>
                </c:pt>
                <c:pt idx="60">
                  <c:v>2066.1499020000001</c:v>
                </c:pt>
                <c:pt idx="61">
                  <c:v>2029.8199460000001</c:v>
                </c:pt>
                <c:pt idx="62">
                  <c:v>1994.219971</c:v>
                </c:pt>
                <c:pt idx="63">
                  <c:v>1920.150024</c:v>
                </c:pt>
                <c:pt idx="64">
                  <c:v>1986.73999</c:v>
                </c:pt>
                <c:pt idx="65">
                  <c:v>2047.790039</c:v>
                </c:pt>
                <c:pt idx="66">
                  <c:v>1887.3599850000001</c:v>
                </c:pt>
                <c:pt idx="67">
                  <c:v>1838.099976</c:v>
                </c:pt>
                <c:pt idx="68">
                  <c:v>1896.839966</c:v>
                </c:pt>
                <c:pt idx="69">
                  <c:v>1974.98999</c:v>
                </c:pt>
                <c:pt idx="70">
                  <c:v>2096.8100589999999</c:v>
                </c:pt>
                <c:pt idx="71">
                  <c:v>2175.4399410000001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1CD-734E-BB5B-155937A789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9525" cap="flat" cmpd="sng" algn="ctr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</c:hiLowLines>
        <c:upDownBars>
          <c:gapWidth val="150"/>
          <c:upBars>
            <c:spPr>
              <a:solidFill>
                <a:schemeClr val="lt1"/>
              </a:solidFill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upBars>
          <c:downBars>
            <c:spPr>
              <a:solidFill>
                <a:schemeClr val="dk1">
                  <a:lumMod val="75000"/>
                  <a:lumOff val="25000"/>
                </a:schemeClr>
              </a:solidFill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downBars>
        </c:upDownBars>
        <c:axId val="1176614624"/>
        <c:axId val="1176616304"/>
      </c:stockChart>
      <c:dateAx>
        <c:axId val="1176614624"/>
        <c:scaling>
          <c:orientation val="minMax"/>
        </c:scaling>
        <c:delete val="0"/>
        <c:axPos val="b"/>
        <c:numFmt formatCode="m/d/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76616304"/>
        <c:crosses val="autoZero"/>
        <c:auto val="1"/>
        <c:lblOffset val="100"/>
        <c:baseTimeUnit val="months"/>
      </c:dateAx>
      <c:valAx>
        <c:axId val="117661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76614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Inferior Good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952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Sheet1!$M$5:$M$16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xVal>
          <c:yVal>
            <c:numRef>
              <c:f>Sheet1!$K$5:$K$16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489-024E-B222-C7C7376FFF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75053488"/>
        <c:axId val="767475984"/>
      </c:scatterChart>
      <c:valAx>
        <c:axId val="775053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>
              <a:solidFill>
                <a:schemeClr val="tx2">
                  <a:lumMod val="5000"/>
                  <a:lumOff val="95000"/>
                </a:schemeClr>
              </a:solidFill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Quantity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7475984"/>
        <c:crosses val="autoZero"/>
        <c:crossBetween val="midCat"/>
      </c:valAx>
      <c:valAx>
        <c:axId val="76747598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Average Income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crossAx val="7750534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2"/>
    <cs:fontRef idx="minor">
      <a:schemeClr val="tx2"/>
    </cs:fontRef>
    <cs:spPr>
      <a:ln w="9525">
        <a:solidFill>
          <a:schemeClr val="phClr"/>
        </a:solidFill>
        <a:round/>
      </a:ln>
    </cs:spPr>
  </cs:dataPointMarker>
  <cs:dataPointMarkerLayout symbol="circle" size="5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spPr>
      <a:ln>
        <a:solidFill>
          <a:schemeClr val="tx2">
            <a:lumMod val="40000"/>
            <a:lumOff val="60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0.28194</cdr:x>
      <cdr:y>0.20602</cdr:y>
    </cdr:from>
    <cdr:to>
      <cdr:x>0.33194</cdr:x>
      <cdr:y>0.25694</cdr:y>
    </cdr:to>
    <cdr:cxnSp macro="">
      <cdr:nvCxnSpPr>
        <cdr:cNvPr id="3" name="Straight Arrow Connector 2">
          <a:extLst xmlns:a="http://schemas.openxmlformats.org/drawingml/2006/main">
            <a:ext uri="{FF2B5EF4-FFF2-40B4-BE49-F238E27FC236}">
              <a16:creationId xmlns:a16="http://schemas.microsoft.com/office/drawing/2014/main" id="{4FC93E8A-B94F-D046-BAF2-57DE942623BE}"/>
            </a:ext>
          </a:extLst>
        </cdr:cNvPr>
        <cdr:cNvCxnSpPr/>
      </cdr:nvCxnSpPr>
      <cdr:spPr>
        <a:xfrm xmlns:a="http://schemas.openxmlformats.org/drawingml/2006/main" flipH="1">
          <a:off x="1289050" y="565150"/>
          <a:ext cx="228600" cy="139700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0.39028</cdr:x>
      <cdr:y>0.62269</cdr:y>
    </cdr:from>
    <cdr:to>
      <cdr:x>0.4625</cdr:x>
      <cdr:y>0.69676</cdr:y>
    </cdr:to>
    <cdr:cxnSp macro="">
      <cdr:nvCxnSpPr>
        <cdr:cNvPr id="5" name="Straight Arrow Connector 4">
          <a:extLst xmlns:a="http://schemas.openxmlformats.org/drawingml/2006/main">
            <a:ext uri="{FF2B5EF4-FFF2-40B4-BE49-F238E27FC236}">
              <a16:creationId xmlns:a16="http://schemas.microsoft.com/office/drawing/2014/main" id="{690B1DA3-6A57-9443-A674-630B7B466614}"/>
            </a:ext>
          </a:extLst>
        </cdr:cNvPr>
        <cdr:cNvCxnSpPr/>
      </cdr:nvCxnSpPr>
      <cdr:spPr>
        <a:xfrm xmlns:a="http://schemas.openxmlformats.org/drawingml/2006/main" flipV="1">
          <a:off x="1784350" y="1708150"/>
          <a:ext cx="330200" cy="203200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0.41016</cdr:x>
      <cdr:y>0.5076</cdr:y>
    </cdr:from>
    <cdr:to>
      <cdr:x>0.41016</cdr:x>
      <cdr:y>0.83721</cdr:y>
    </cdr:to>
    <cdr:cxnSp macro="">
      <cdr:nvCxnSpPr>
        <cdr:cNvPr id="3" name="Straight Connector 2">
          <a:extLst xmlns:a="http://schemas.openxmlformats.org/drawingml/2006/main">
            <a:ext uri="{FF2B5EF4-FFF2-40B4-BE49-F238E27FC236}">
              <a16:creationId xmlns:a16="http://schemas.microsoft.com/office/drawing/2014/main" id="{06EAE3CA-2975-464F-B243-BA08F5CD3576}"/>
            </a:ext>
          </a:extLst>
        </cdr:cNvPr>
        <cdr:cNvCxnSpPr/>
      </cdr:nvCxnSpPr>
      <cdr:spPr>
        <a:xfrm xmlns:a="http://schemas.openxmlformats.org/drawingml/2006/main">
          <a:off x="2177375" y="1663202"/>
          <a:ext cx="0" cy="1079998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0.06459</cdr:x>
      <cdr:y>0.51064</cdr:y>
    </cdr:from>
    <cdr:to>
      <cdr:x>0.41016</cdr:x>
      <cdr:y>0.51064</cdr:y>
    </cdr:to>
    <cdr:cxnSp macro="">
      <cdr:nvCxnSpPr>
        <cdr:cNvPr id="5" name="Straight Connector 4">
          <a:extLst xmlns:a="http://schemas.openxmlformats.org/drawingml/2006/main">
            <a:ext uri="{FF2B5EF4-FFF2-40B4-BE49-F238E27FC236}">
              <a16:creationId xmlns:a16="http://schemas.microsoft.com/office/drawing/2014/main" id="{BFD40C8C-3114-8444-819E-248F17CF2535}"/>
            </a:ext>
          </a:extLst>
        </cdr:cNvPr>
        <cdr:cNvCxnSpPr/>
      </cdr:nvCxnSpPr>
      <cdr:spPr>
        <a:xfrm xmlns:a="http://schemas.openxmlformats.org/drawingml/2006/main" flipH="1">
          <a:off x="342900" y="1673163"/>
          <a:ext cx="1834476" cy="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0.05981</cdr:x>
      <cdr:y>0.43465</cdr:y>
    </cdr:from>
    <cdr:to>
      <cdr:x>0.30078</cdr:x>
      <cdr:y>0.43465</cdr:y>
    </cdr:to>
    <cdr:cxnSp macro="">
      <cdr:nvCxnSpPr>
        <cdr:cNvPr id="7" name="Straight Connector 6">
          <a:extLst xmlns:a="http://schemas.openxmlformats.org/drawingml/2006/main">
            <a:ext uri="{FF2B5EF4-FFF2-40B4-BE49-F238E27FC236}">
              <a16:creationId xmlns:a16="http://schemas.microsoft.com/office/drawing/2014/main" id="{0D89322C-2AC7-AD4A-9F2C-277AA3F95469}"/>
            </a:ext>
          </a:extLst>
        </cdr:cNvPr>
        <cdr:cNvCxnSpPr/>
      </cdr:nvCxnSpPr>
      <cdr:spPr>
        <a:xfrm xmlns:a="http://schemas.openxmlformats.org/drawingml/2006/main" flipH="1">
          <a:off x="317500" y="1424174"/>
          <a:ext cx="1279221" cy="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0.30273</cdr:x>
      <cdr:y>0.43465</cdr:y>
    </cdr:from>
    <cdr:to>
      <cdr:x>0.30273</cdr:x>
      <cdr:y>0.84109</cdr:y>
    </cdr:to>
    <cdr:cxnSp macro="">
      <cdr:nvCxnSpPr>
        <cdr:cNvPr id="9" name="Straight Connector 8">
          <a:extLst xmlns:a="http://schemas.openxmlformats.org/drawingml/2006/main">
            <a:ext uri="{FF2B5EF4-FFF2-40B4-BE49-F238E27FC236}">
              <a16:creationId xmlns:a16="http://schemas.microsoft.com/office/drawing/2014/main" id="{34B2FCCF-00B6-184B-8D18-394D8F19CF10}"/>
            </a:ext>
          </a:extLst>
        </cdr:cNvPr>
        <cdr:cNvCxnSpPr/>
      </cdr:nvCxnSpPr>
      <cdr:spPr>
        <a:xfrm xmlns:a="http://schemas.openxmlformats.org/drawingml/2006/main">
          <a:off x="1607072" y="1424174"/>
          <a:ext cx="0" cy="1331726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0.29381</cdr:x>
      <cdr:y>0.38079</cdr:y>
    </cdr:from>
    <cdr:to>
      <cdr:x>0.33982</cdr:x>
      <cdr:y>0.4404</cdr:y>
    </cdr:to>
    <cdr:sp macro="" textlink="">
      <cdr:nvSpPr>
        <cdr:cNvPr id="10" name="TextBox 9">
          <a:extLst xmlns:a="http://schemas.openxmlformats.org/drawingml/2006/main">
            <a:ext uri="{FF2B5EF4-FFF2-40B4-BE49-F238E27FC236}">
              <a16:creationId xmlns:a16="http://schemas.microsoft.com/office/drawing/2014/main" id="{0F0248B7-C523-9F41-A443-B5B398B0FBA7}"/>
            </a:ext>
          </a:extLst>
        </cdr:cNvPr>
        <cdr:cNvSpPr txBox="1"/>
      </cdr:nvSpPr>
      <cdr:spPr>
        <a:xfrm xmlns:a="http://schemas.openxmlformats.org/drawingml/2006/main">
          <a:off x="2108200" y="1460500"/>
          <a:ext cx="33020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B</a:t>
          </a:r>
        </a:p>
      </cdr:txBody>
    </cdr:sp>
  </cdr:relSizeAnchor>
  <cdr:relSizeAnchor xmlns:cdr="http://schemas.openxmlformats.org/drawingml/2006/chartDrawing">
    <cdr:from>
      <cdr:x>0.41239</cdr:x>
      <cdr:y>0.46026</cdr:y>
    </cdr:from>
    <cdr:to>
      <cdr:x>0.4531</cdr:x>
      <cdr:y>0.51656</cdr:y>
    </cdr:to>
    <cdr:sp macro="" textlink="">
      <cdr:nvSpPr>
        <cdr:cNvPr id="11" name="TextBox 10">
          <a:extLst xmlns:a="http://schemas.openxmlformats.org/drawingml/2006/main">
            <a:ext uri="{FF2B5EF4-FFF2-40B4-BE49-F238E27FC236}">
              <a16:creationId xmlns:a16="http://schemas.microsoft.com/office/drawing/2014/main" id="{2EF7634A-F647-F44A-99C0-5F0505F59901}"/>
            </a:ext>
          </a:extLst>
        </cdr:cNvPr>
        <cdr:cNvSpPr txBox="1"/>
      </cdr:nvSpPr>
      <cdr:spPr>
        <a:xfrm xmlns:a="http://schemas.openxmlformats.org/drawingml/2006/main">
          <a:off x="2959100" y="1765300"/>
          <a:ext cx="292100" cy="215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A</a:t>
          </a:r>
        </a:p>
      </cdr:txBody>
    </cdr:sp>
  </cdr:relSizeAnchor>
  <cdr:relSizeAnchor xmlns:cdr="http://schemas.openxmlformats.org/drawingml/2006/chartDrawing">
    <cdr:from>
      <cdr:x>0.32353</cdr:x>
      <cdr:y>0.79047</cdr:y>
    </cdr:from>
    <cdr:to>
      <cdr:x>0.39255</cdr:x>
      <cdr:y>0.79047</cdr:y>
    </cdr:to>
    <cdr:cxnSp macro="">
      <cdr:nvCxnSpPr>
        <cdr:cNvPr id="13" name="Straight Arrow Connector 12">
          <a:extLst xmlns:a="http://schemas.openxmlformats.org/drawingml/2006/main">
            <a:ext uri="{FF2B5EF4-FFF2-40B4-BE49-F238E27FC236}">
              <a16:creationId xmlns:a16="http://schemas.microsoft.com/office/drawing/2014/main" id="{2024E758-6948-6847-A9B3-C88493C1796C}"/>
            </a:ext>
          </a:extLst>
        </cdr:cNvPr>
        <cdr:cNvCxnSpPr/>
      </cdr:nvCxnSpPr>
      <cdr:spPr>
        <a:xfrm xmlns:a="http://schemas.openxmlformats.org/drawingml/2006/main" flipH="1">
          <a:off x="2103704" y="3302841"/>
          <a:ext cx="448839" cy="0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triangle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0.14648</cdr:x>
      <cdr:y>0.434</cdr:y>
    </cdr:from>
    <cdr:to>
      <cdr:x>0.14727</cdr:x>
      <cdr:y>0.50456</cdr:y>
    </cdr:to>
    <cdr:cxnSp macro="">
      <cdr:nvCxnSpPr>
        <cdr:cNvPr id="15" name="Straight Arrow Connector 14">
          <a:extLst xmlns:a="http://schemas.openxmlformats.org/drawingml/2006/main">
            <a:ext uri="{FF2B5EF4-FFF2-40B4-BE49-F238E27FC236}">
              <a16:creationId xmlns:a16="http://schemas.microsoft.com/office/drawing/2014/main" id="{DB523AC7-6929-BA40-9A05-A1F90D3B3D0F}"/>
            </a:ext>
          </a:extLst>
        </cdr:cNvPr>
        <cdr:cNvCxnSpPr/>
      </cdr:nvCxnSpPr>
      <cdr:spPr>
        <a:xfrm xmlns:a="http://schemas.openxmlformats.org/drawingml/2006/main" flipV="1">
          <a:off x="952500" y="1813368"/>
          <a:ext cx="5104" cy="294832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triangle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189</Words>
  <Characters>1191</Characters>
  <Application>Microsoft Office Word</Application>
  <DocSecurity>0</DocSecurity>
  <Lines>25</Lines>
  <Paragraphs>12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Rashid</dc:creator>
  <cp:keywords/>
  <dc:description/>
  <cp:lastModifiedBy>Muhammad Rashid</cp:lastModifiedBy>
  <cp:revision>1</cp:revision>
  <dcterms:created xsi:type="dcterms:W3CDTF">2020-06-24T03:21:00Z</dcterms:created>
  <dcterms:modified xsi:type="dcterms:W3CDTF">2020-06-24T03:23:00Z</dcterms:modified>
</cp:coreProperties>
</file>