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AD6E8E">
      <w:pPr>
        <w:pStyle w:val="BodyText2"/>
        <w:rPr>
          <w:sz w:val="20"/>
          <w:szCs w:val="20"/>
        </w:rPr>
      </w:pPr>
      <w:bookmarkStart w:id="0" w:name="_GoBack"/>
      <w:bookmarkEnd w:id="0"/>
      <w:r>
        <w:rPr>
          <w:b/>
        </w:rPr>
        <w:t>The Main Determinants of Private Investments in The WAEMU Zone: The Dynamic Approach</w:t>
      </w:r>
    </w:p>
    <w:p w:rsidR="00000000" w:rsidRDefault="00AD6E8E">
      <w:pPr>
        <w:spacing w:after="80" w:line="240" w:lineRule="exact"/>
        <w:jc w:val="center"/>
        <w:rPr>
          <w:sz w:val="20"/>
          <w:szCs w:val="20"/>
        </w:rPr>
      </w:pPr>
      <w:r>
        <w:rPr>
          <w:sz w:val="20"/>
          <w:szCs w:val="20"/>
        </w:rPr>
        <w:t>Dr Adama COMBEY*</w:t>
      </w:r>
    </w:p>
    <w:p w:rsidR="00000000" w:rsidRDefault="00AD6E8E">
      <w:pPr>
        <w:spacing w:after="80" w:line="240" w:lineRule="exact"/>
        <w:jc w:val="center"/>
        <w:rPr>
          <w:sz w:val="20"/>
          <w:szCs w:val="20"/>
        </w:rPr>
      </w:pPr>
      <w:r>
        <w:rPr>
          <w:sz w:val="20"/>
          <w:szCs w:val="20"/>
        </w:rPr>
        <w:t>Macroeconomist at The Central Bank of West African States</w:t>
      </w:r>
    </w:p>
    <w:p w:rsidR="00000000" w:rsidRDefault="00AD6E8E">
      <w:pPr>
        <w:spacing w:after="80" w:line="240" w:lineRule="exact"/>
        <w:jc w:val="center"/>
        <w:rPr>
          <w:rStyle w:val="Hyperlink"/>
          <w:color w:val="000000"/>
          <w:sz w:val="20"/>
          <w:szCs w:val="20"/>
          <w:u w:val="none"/>
        </w:rPr>
      </w:pPr>
      <w:r>
        <w:rPr>
          <w:sz w:val="20"/>
          <w:szCs w:val="20"/>
        </w:rPr>
        <w:t>PO box 4054, Lome Togo</w:t>
      </w:r>
    </w:p>
    <w:p w:rsidR="00000000" w:rsidRDefault="00AD6E8E">
      <w:pPr>
        <w:spacing w:after="80" w:line="240" w:lineRule="exact"/>
        <w:jc w:val="center"/>
        <w:rPr>
          <w:rStyle w:val="Hyperlink"/>
          <w:color w:val="000000"/>
          <w:sz w:val="20"/>
          <w:szCs w:val="20"/>
          <w:u w:val="none"/>
        </w:rPr>
      </w:pPr>
      <w:r>
        <w:rPr>
          <w:rStyle w:val="Hyperlink"/>
          <w:color w:val="000000"/>
          <w:sz w:val="20"/>
          <w:szCs w:val="20"/>
          <w:u w:val="none"/>
        </w:rPr>
        <w:t xml:space="preserve">E-mail: </w:t>
      </w:r>
      <w:hyperlink r:id="rId6" w:history="1">
        <w:r>
          <w:rPr>
            <w:rStyle w:val="Hyperlink"/>
          </w:rPr>
          <w:t>adama.combey@gmail.c</w:t>
        </w:r>
        <w:r>
          <w:rPr>
            <w:rStyle w:val="Hyperlink"/>
          </w:rPr>
          <w:t>om</w:t>
        </w:r>
      </w:hyperlink>
      <w:r>
        <w:rPr>
          <w:rStyle w:val="Hyperlink"/>
          <w:sz w:val="20"/>
          <w:szCs w:val="20"/>
          <w:u w:val="none"/>
        </w:rPr>
        <w:t xml:space="preserve"> / </w:t>
      </w:r>
      <w:hyperlink r:id="rId7" w:history="1">
        <w:r>
          <w:rPr>
            <w:rStyle w:val="Hyperlink"/>
          </w:rPr>
          <w:t>acombey@bceao.int</w:t>
        </w:r>
      </w:hyperlink>
      <w:r>
        <w:rPr>
          <w:rStyle w:val="Hyperlink"/>
          <w:sz w:val="20"/>
          <w:szCs w:val="20"/>
          <w:u w:val="none"/>
        </w:rPr>
        <w:t xml:space="preserve"> </w:t>
      </w:r>
    </w:p>
    <w:p w:rsidR="00000000" w:rsidRDefault="00AD6E8E">
      <w:pPr>
        <w:spacing w:after="80" w:line="240" w:lineRule="exact"/>
        <w:jc w:val="center"/>
        <w:rPr>
          <w:b/>
          <w:sz w:val="20"/>
          <w:szCs w:val="20"/>
        </w:rPr>
      </w:pPr>
      <w:r>
        <w:rPr>
          <w:rStyle w:val="Hyperlink"/>
          <w:color w:val="000000"/>
          <w:sz w:val="20"/>
          <w:szCs w:val="20"/>
          <w:u w:val="none"/>
        </w:rPr>
        <w:t>Tel: 00228 22 23 52 05 / 00228 90 11 96 92</w:t>
      </w:r>
    </w:p>
    <w:p w:rsidR="00000000" w:rsidRDefault="00AD6E8E">
      <w:pPr>
        <w:pStyle w:val="BodyText"/>
        <w:spacing w:after="0" w:line="200" w:lineRule="atLeast"/>
        <w:ind w:firstLine="283"/>
        <w:jc w:val="both"/>
        <w:rPr>
          <w:sz w:val="20"/>
          <w:szCs w:val="20"/>
        </w:rPr>
      </w:pPr>
      <w:r>
        <w:rPr>
          <w:b/>
          <w:sz w:val="20"/>
          <w:szCs w:val="20"/>
        </w:rPr>
        <w:t>Abstract</w:t>
      </w:r>
    </w:p>
    <w:p w:rsidR="00000000" w:rsidRDefault="00AD6E8E">
      <w:pPr>
        <w:pStyle w:val="BodyText"/>
        <w:spacing w:after="0" w:line="200" w:lineRule="atLeast"/>
        <w:ind w:firstLine="283"/>
        <w:jc w:val="both"/>
        <w:rPr>
          <w:rStyle w:val="Hyperlink"/>
          <w:b/>
          <w:color w:val="000000"/>
          <w:sz w:val="20"/>
          <w:szCs w:val="22"/>
          <w:u w:val="none"/>
        </w:rPr>
      </w:pPr>
      <w:r>
        <w:rPr>
          <w:sz w:val="20"/>
          <w:szCs w:val="20"/>
        </w:rPr>
        <w:t>This article investigates the main determinants of private investment in the West African Economic and Monetary Union (WAEMU). After check</w:t>
      </w:r>
      <w:r>
        <w:rPr>
          <w:sz w:val="20"/>
          <w:szCs w:val="20"/>
        </w:rPr>
        <w:t>ing for unit root and co-integration, Error Correction Model is specified, and three estimators are performed: Dynamic Fixed-Effects, Mean Group, and Pooled Mean Group. Hausman tests show that the Dynamic Fixed-Effects Estimator is more efficient and consi</w:t>
      </w:r>
      <w:r>
        <w:rPr>
          <w:sz w:val="20"/>
          <w:szCs w:val="20"/>
        </w:rPr>
        <w:t>stent than others. Results suggest that, in the short-run, private investment in the WAEMU zone is determined by the aggregate demand conditions: gross domestic product and output gap, while, in the long-run, it is determined by gross domestic product, and</w:t>
      </w:r>
      <w:r>
        <w:rPr>
          <w:sz w:val="20"/>
          <w:szCs w:val="20"/>
        </w:rPr>
        <w:t xml:space="preserve"> political stability. The short-run elasticity of gross domestic product and output gap are statistically significant and average to 5.7 and 0.06, respectively. The long-run elasticity of gross domestic product and the semi-elasticity of political stabilit</w:t>
      </w:r>
      <w:r>
        <w:rPr>
          <w:sz w:val="20"/>
          <w:szCs w:val="20"/>
        </w:rPr>
        <w:t>y are statistically significant and average to 2.4 and -0.25, respectively. These finds imply that, to promote private investment in the WAEMU zone, there is a need among others for more proper design and implementation of aggregate demand management polic</w:t>
      </w:r>
      <w:r>
        <w:rPr>
          <w:sz w:val="20"/>
          <w:szCs w:val="20"/>
        </w:rPr>
        <w:t>ies, and political framework stability.</w:t>
      </w:r>
    </w:p>
    <w:p w:rsidR="00000000" w:rsidRDefault="00AD6E8E">
      <w:pPr>
        <w:pStyle w:val="BodyText"/>
        <w:spacing w:after="0" w:line="200" w:lineRule="atLeast"/>
        <w:ind w:firstLine="283"/>
        <w:jc w:val="both"/>
        <w:rPr>
          <w:rFonts w:eastAsia="Times New Roman" w:cs="Times New Roman"/>
          <w:b/>
          <w:bCs/>
          <w:color w:val="000000"/>
          <w:sz w:val="20"/>
          <w:szCs w:val="20"/>
        </w:rPr>
      </w:pPr>
      <w:r>
        <w:rPr>
          <w:rStyle w:val="Hyperlink"/>
          <w:b/>
          <w:color w:val="000000"/>
          <w:sz w:val="20"/>
          <w:szCs w:val="22"/>
          <w:u w:val="none"/>
        </w:rPr>
        <w:t>Keywords:</w:t>
      </w:r>
      <w:r>
        <w:rPr>
          <w:rStyle w:val="Hyperlink"/>
          <w:color w:val="000000"/>
          <w:sz w:val="20"/>
          <w:szCs w:val="20"/>
          <w:u w:val="none"/>
        </w:rPr>
        <w:t xml:space="preserve"> </w:t>
      </w:r>
      <w:r>
        <w:rPr>
          <w:rStyle w:val="Hyperlink"/>
          <w:color w:val="000000"/>
          <w:sz w:val="20"/>
          <w:szCs w:val="22"/>
          <w:u w:val="none"/>
        </w:rPr>
        <w:t>Private Investment, WAEMU, Dynamic Fixed-Effects Estimator.</w:t>
      </w:r>
    </w:p>
    <w:p w:rsidR="00000000" w:rsidRDefault="00AD6E8E">
      <w:pPr>
        <w:pStyle w:val="BodyText"/>
        <w:spacing w:after="0" w:line="200" w:lineRule="atLeast"/>
        <w:ind w:firstLine="283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>JEL Class.:</w:t>
      </w:r>
      <w:r>
        <w:rPr>
          <w:rFonts w:eastAsia="Times New Roman" w:cs="Times New Roman"/>
          <w:color w:val="000000"/>
          <w:sz w:val="20"/>
          <w:szCs w:val="20"/>
        </w:rPr>
        <w:t xml:space="preserve"> C33, E21, F15. </w:t>
      </w:r>
    </w:p>
    <w:p w:rsidR="00000000" w:rsidRDefault="00AD6E8E">
      <w:pPr>
        <w:pStyle w:val="BodyText"/>
        <w:spacing w:after="0" w:line="200" w:lineRule="atLeast"/>
        <w:ind w:firstLine="283"/>
        <w:jc w:val="both"/>
        <w:rPr>
          <w:sz w:val="20"/>
          <w:szCs w:val="20"/>
        </w:rPr>
      </w:pPr>
    </w:p>
    <w:p w:rsidR="00000000" w:rsidRDefault="00AD6E8E">
      <w:pPr>
        <w:spacing w:after="80" w:line="240" w:lineRule="exact"/>
        <w:ind w:firstLine="283"/>
        <w:jc w:val="both"/>
      </w:pPr>
      <w:r>
        <w:rPr>
          <w:rFonts w:eastAsia="Times New Roman" w:cs="Times New Roman"/>
          <w:color w:val="000000"/>
          <w:sz w:val="20"/>
          <w:szCs w:val="22"/>
          <w:lang w:val="en-GB"/>
        </w:rPr>
        <w:t xml:space="preserve">* The views expressed in this paper are those of the author and should not be attributed to the Central Bank of West </w:t>
      </w:r>
      <w:r>
        <w:rPr>
          <w:rFonts w:eastAsia="Times New Roman" w:cs="Times New Roman"/>
          <w:color w:val="000000"/>
          <w:sz w:val="20"/>
          <w:szCs w:val="22"/>
          <w:lang w:val="en-GB"/>
        </w:rPr>
        <w:t>African States.</w:t>
      </w:r>
    </w:p>
    <w:p w:rsidR="00AD6E8E" w:rsidRDefault="00AD6E8E">
      <w:pPr>
        <w:pStyle w:val="BodyText"/>
        <w:spacing w:after="0" w:line="200" w:lineRule="atLeast"/>
        <w:ind w:firstLine="283"/>
        <w:jc w:val="both"/>
      </w:pPr>
    </w:p>
    <w:sectPr w:rsidR="00AD6E8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0" w:right="2551" w:bottom="2260" w:left="2551" w:header="1701" w:footer="1701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E8E" w:rsidRDefault="00AD6E8E">
      <w:r>
        <w:separator/>
      </w:r>
    </w:p>
  </w:endnote>
  <w:endnote w:type="continuationSeparator" w:id="0">
    <w:p w:rsidR="00AD6E8E" w:rsidRDefault="00A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D6E8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D6E8E">
    <w:pPr>
      <w:pStyle w:val="Footer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D6E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E8E" w:rsidRDefault="00AD6E8E">
      <w:r>
        <w:separator/>
      </w:r>
    </w:p>
  </w:footnote>
  <w:footnote w:type="continuationSeparator" w:id="0">
    <w:p w:rsidR="00AD6E8E" w:rsidRDefault="00AD6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D6E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D6E8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64B"/>
    <w:rsid w:val="007B764B"/>
    <w:rsid w:val="00AD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D5790E0-5152-41CA-99CD-F79FBBA26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Titre">
    <w:name w:val="Titre"/>
    <w:basedOn w:val="Normal"/>
    <w:next w:val="Body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</w:style>
  <w:style w:type="paragraph" w:customStyle="1" w:styleId="Lgende">
    <w:name w:val="Légende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BodyText2">
    <w:name w:val="Body Text 2"/>
    <w:basedOn w:val="Normal"/>
    <w:pPr>
      <w:spacing w:before="200" w:after="200" w:line="400" w:lineRule="exact"/>
      <w:jc w:val="center"/>
    </w:pPr>
    <w:rPr>
      <w:sz w:val="32"/>
      <w:szCs w:val="32"/>
    </w:rPr>
  </w:style>
  <w:style w:type="paragraph" w:customStyle="1" w:styleId="Default">
    <w:name w:val="Default"/>
    <w:basedOn w:val="Normal"/>
    <w:pPr>
      <w:autoSpaceDE w:val="0"/>
    </w:pPr>
    <w:rPr>
      <w:rFonts w:eastAsia="Times New Roman" w:cs="Times New Roman"/>
      <w:color w:val="000000"/>
    </w:rPr>
  </w:style>
  <w:style w:type="paragraph" w:styleId="Header">
    <w:name w:val="header"/>
    <w:basedOn w:val="Normal"/>
    <w:pPr>
      <w:suppressLineNumbers/>
      <w:tabs>
        <w:tab w:val="center" w:pos="3402"/>
        <w:tab w:val="right" w:pos="6804"/>
      </w:tabs>
    </w:pPr>
  </w:style>
  <w:style w:type="paragraph" w:styleId="Footer">
    <w:name w:val="footer"/>
    <w:basedOn w:val="Normal"/>
    <w:pPr>
      <w:suppressLineNumbers/>
      <w:tabs>
        <w:tab w:val="center" w:pos="3402"/>
        <w:tab w:val="right" w:pos="6804"/>
      </w:tabs>
    </w:p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combey@bceao.int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ama.combey@gmail.com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Private Consumption in The WAEMU Zone Does Interest Rates Matter</vt:lpstr>
    </vt:vector>
  </TitlesOfParts>
  <Company>Microsoft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Private Consumption in The WAEMU Zone Does Interest Rates Matter</dc:title>
  <dc:subject/>
  <dc:creator>Adama COMBEY</dc:creator>
  <cp:keywords>Private Consumption, Interest Rates, WAEMU, Pooled Mean Group, Mean Group, Dynamic Fixed-Effects Estimator, BCEAO, UEMOA, Taux d'intérêt, consommation privée, liberalisation financière, education financière</cp:keywords>
  <cp:lastModifiedBy>flama</cp:lastModifiedBy>
  <cp:revision>2</cp:revision>
  <cp:lastPrinted>1601-01-01T00:00:00Z</cp:lastPrinted>
  <dcterms:created xsi:type="dcterms:W3CDTF">2016-12-16T19:35:00Z</dcterms:created>
  <dcterms:modified xsi:type="dcterms:W3CDTF">2016-12-16T19:35:00Z</dcterms:modified>
</cp:coreProperties>
</file>