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C55CA2">
      <w:pPr>
        <w:pStyle w:val="BodyText2"/>
      </w:pPr>
      <w:bookmarkStart w:id="0" w:name="_GoBack"/>
      <w:bookmarkEnd w:id="0"/>
      <w:r>
        <w:rPr>
          <w:b/>
        </w:rPr>
        <w:t>The Main Determinants of Private Investments in The WAEMU Zone: The Dynamic Approach</w:t>
      </w:r>
    </w:p>
    <w:p w:rsidR="00000000" w:rsidRDefault="00C55CA2">
      <w:pPr>
        <w:spacing w:after="80" w:line="240" w:lineRule="exact"/>
        <w:jc w:val="both"/>
      </w:pPr>
    </w:p>
    <w:p w:rsidR="00000000" w:rsidRDefault="00C55CA2">
      <w:pPr>
        <w:pStyle w:val="BodyText"/>
        <w:spacing w:after="0" w:line="200" w:lineRule="atLeast"/>
        <w:ind w:firstLine="283"/>
        <w:jc w:val="both"/>
        <w:rPr>
          <w:sz w:val="20"/>
          <w:szCs w:val="20"/>
        </w:rPr>
      </w:pPr>
      <w:r>
        <w:rPr>
          <w:b/>
          <w:sz w:val="20"/>
          <w:szCs w:val="20"/>
        </w:rPr>
        <w:t>Abstract</w:t>
      </w:r>
    </w:p>
    <w:p w:rsidR="00000000" w:rsidRDefault="00C55CA2">
      <w:pPr>
        <w:pStyle w:val="BodyText"/>
        <w:spacing w:after="0" w:line="200" w:lineRule="atLeast"/>
        <w:ind w:firstLine="283"/>
        <w:jc w:val="both"/>
        <w:rPr>
          <w:rStyle w:val="Hyperlink"/>
          <w:b/>
          <w:color w:val="000000"/>
          <w:sz w:val="20"/>
          <w:szCs w:val="22"/>
          <w:u w:val="none"/>
        </w:rPr>
      </w:pPr>
      <w:r>
        <w:rPr>
          <w:sz w:val="20"/>
          <w:szCs w:val="20"/>
        </w:rPr>
        <w:t>This article investigates the main determinants of private investment in the West African Economic and Monetary Union (WAEMU). After checking for unit root and c</w:t>
      </w:r>
      <w:r>
        <w:rPr>
          <w:sz w:val="20"/>
          <w:szCs w:val="20"/>
        </w:rPr>
        <w:t>o-integration, Error Correction Model is specified, and three estimators are performed: Dynamic Fixed-Effects, Mean Group, and Pooled Mean Group. Hausman tests show that the Dynamic Fixed-Effects Estimator is more efficient and consistent than others. Resu</w:t>
      </w:r>
      <w:r>
        <w:rPr>
          <w:sz w:val="20"/>
          <w:szCs w:val="20"/>
        </w:rPr>
        <w:t>lts suggest that, in the short-run, private investment in the WAEMU zone is determined by the aggregate demand conditions: gross domestic product and output gap, while, in the long-run, it is determined by gross domestic product, and political stability. T</w:t>
      </w:r>
      <w:r>
        <w:rPr>
          <w:sz w:val="20"/>
          <w:szCs w:val="20"/>
        </w:rPr>
        <w:t>he short-run elasticity of gross domestic product and output gap are statistically significant and average to 5.7 and 0.06, respectively. The long-run elasticity of gross domestic product and the semi-elasticity of political stability are statistically sig</w:t>
      </w:r>
      <w:r>
        <w:rPr>
          <w:sz w:val="20"/>
          <w:szCs w:val="20"/>
        </w:rPr>
        <w:t>nificant and average to 2.4 and -0.25, respectively. These finds imply that, to promote private investment in the WAEMU zone, there is a need among others for more proper design and implementation of aggregate demand management policies, and political fram</w:t>
      </w:r>
      <w:r>
        <w:rPr>
          <w:sz w:val="20"/>
          <w:szCs w:val="20"/>
        </w:rPr>
        <w:t>ework stability.</w:t>
      </w:r>
    </w:p>
    <w:p w:rsidR="00000000" w:rsidRDefault="00C55CA2">
      <w:pPr>
        <w:pStyle w:val="BodyText"/>
        <w:spacing w:after="0" w:line="200" w:lineRule="atLeast"/>
        <w:ind w:firstLine="283"/>
        <w:jc w:val="both"/>
        <w:rPr>
          <w:rFonts w:eastAsia="Times New Roman" w:cs="Times New Roman"/>
          <w:b/>
          <w:bCs/>
          <w:color w:val="000000"/>
          <w:sz w:val="20"/>
          <w:szCs w:val="20"/>
        </w:rPr>
      </w:pPr>
      <w:r>
        <w:rPr>
          <w:rStyle w:val="Hyperlink"/>
          <w:b/>
          <w:color w:val="000000"/>
          <w:sz w:val="20"/>
          <w:szCs w:val="22"/>
          <w:u w:val="none"/>
        </w:rPr>
        <w:t>Keywords:</w:t>
      </w:r>
      <w:r>
        <w:rPr>
          <w:rStyle w:val="Hyperlink"/>
          <w:color w:val="000000"/>
          <w:sz w:val="20"/>
          <w:szCs w:val="20"/>
          <w:u w:val="none"/>
        </w:rPr>
        <w:t xml:space="preserve"> </w:t>
      </w:r>
      <w:r>
        <w:rPr>
          <w:rStyle w:val="Hyperlink"/>
          <w:color w:val="000000"/>
          <w:sz w:val="20"/>
          <w:szCs w:val="22"/>
          <w:u w:val="none"/>
        </w:rPr>
        <w:t>Private Investment, WAEMU, Dynamic Fixed-Effects Estimator.</w:t>
      </w:r>
    </w:p>
    <w:p w:rsidR="00000000" w:rsidRDefault="00C55CA2">
      <w:pPr>
        <w:pStyle w:val="BodyText"/>
        <w:spacing w:after="0" w:line="200" w:lineRule="atLeast"/>
        <w:ind w:firstLine="283"/>
        <w:jc w:val="both"/>
        <w:rPr>
          <w:sz w:val="20"/>
          <w:szCs w:val="20"/>
        </w:rPr>
      </w:pPr>
      <w:r>
        <w:rPr>
          <w:rFonts w:eastAsia="Times New Roman" w:cs="Times New Roman"/>
          <w:b/>
          <w:bCs/>
          <w:color w:val="000000"/>
          <w:sz w:val="20"/>
          <w:szCs w:val="20"/>
        </w:rPr>
        <w:t>JEL Class.:</w:t>
      </w:r>
      <w:r>
        <w:rPr>
          <w:rFonts w:eastAsia="Times New Roman" w:cs="Times New Roman"/>
          <w:color w:val="000000"/>
          <w:sz w:val="20"/>
          <w:szCs w:val="20"/>
        </w:rPr>
        <w:t xml:space="preserve"> C33, E21, F15. </w:t>
      </w:r>
    </w:p>
    <w:p w:rsidR="00000000" w:rsidRDefault="00C55CA2">
      <w:pPr>
        <w:pStyle w:val="BodyText"/>
        <w:spacing w:after="0" w:line="200" w:lineRule="atLeast"/>
        <w:ind w:firstLine="283"/>
        <w:jc w:val="both"/>
        <w:rPr>
          <w:sz w:val="20"/>
          <w:szCs w:val="20"/>
        </w:rPr>
      </w:pPr>
    </w:p>
    <w:p w:rsidR="00000000" w:rsidRDefault="00C55CA2">
      <w:pPr>
        <w:pStyle w:val="BodyText"/>
        <w:widowControl/>
        <w:spacing w:after="0" w:line="200" w:lineRule="atLeast"/>
        <w:ind w:firstLine="283"/>
        <w:rPr>
          <w:rFonts w:cs="Times New Roman"/>
          <w:sz w:val="22"/>
          <w:szCs w:val="22"/>
        </w:rPr>
      </w:pPr>
      <w:r>
        <w:rPr>
          <w:rFonts w:cs="Times New Roman"/>
          <w:b/>
          <w:sz w:val="28"/>
          <w:szCs w:val="28"/>
        </w:rPr>
        <w:t>1. Introduction</w:t>
      </w:r>
    </w:p>
    <w:p w:rsidR="00000000" w:rsidRDefault="00C55CA2">
      <w:pPr>
        <w:widowControl/>
        <w:spacing w:line="200" w:lineRule="atLeast"/>
        <w:ind w:firstLine="283"/>
        <w:jc w:val="both"/>
        <w:rPr>
          <w:rFonts w:eastAsia="Times New Roman" w:cs="Times New Roman"/>
          <w:color w:val="000000"/>
          <w:sz w:val="22"/>
          <w:szCs w:val="22"/>
        </w:rPr>
      </w:pPr>
      <w:r>
        <w:rPr>
          <w:rFonts w:cs="Times New Roman"/>
          <w:sz w:val="22"/>
          <w:szCs w:val="22"/>
        </w:rPr>
        <w:t xml:space="preserve">In recent years, the West African Economic and Monetary Union (WAEMU) has experienced rapid economic growth compared to the </w:t>
      </w:r>
      <w:r>
        <w:rPr>
          <w:rFonts w:cs="Times New Roman"/>
          <w:sz w:val="22"/>
          <w:szCs w:val="22"/>
        </w:rPr>
        <w:t>average of African countries. While economic growth average 3.5 percent over 2000-09, it rose to an average of 5.0 percent over 2010-15 in this region. However, African countries economic growth are estimated to an average of 4.4 percent over 2010-15. This</w:t>
      </w:r>
      <w:r>
        <w:rPr>
          <w:rFonts w:cs="Times New Roman"/>
          <w:sz w:val="22"/>
          <w:szCs w:val="22"/>
        </w:rPr>
        <w:t xml:space="preserve"> economic progress in the WAEMU zone is essentially by public investment, especially in basic economics infrastructures. The aim, according to policymakers' views, is to create conditions for private investment development and  more sustainable economic gr</w:t>
      </w:r>
      <w:r>
        <w:rPr>
          <w:rFonts w:cs="Times New Roman"/>
          <w:sz w:val="22"/>
          <w:szCs w:val="22"/>
        </w:rPr>
        <w:t>owth.</w:t>
      </w:r>
    </w:p>
    <w:p w:rsidR="00000000" w:rsidRDefault="00C55CA2">
      <w:pPr>
        <w:widowControl/>
        <w:spacing w:line="200" w:lineRule="atLeast"/>
        <w:ind w:firstLine="283"/>
        <w:jc w:val="both"/>
        <w:rPr>
          <w:rFonts w:eastAsia="Times New Roman" w:cs="Times New Roman"/>
          <w:color w:val="000000"/>
          <w:sz w:val="22"/>
          <w:szCs w:val="22"/>
        </w:rPr>
      </w:pPr>
      <w:r>
        <w:rPr>
          <w:rFonts w:eastAsia="Times New Roman" w:cs="Times New Roman"/>
          <w:color w:val="000000"/>
          <w:sz w:val="22"/>
          <w:szCs w:val="22"/>
        </w:rPr>
        <w:t xml:space="preserve">It is widely recognized that public investment are not enough to address sustainable economic growth challenges in developing countries. Thus, private investment are required (United Nations, 2002). These are necessary to complete public investment. </w:t>
      </w:r>
      <w:r>
        <w:rPr>
          <w:rFonts w:eastAsia="Times New Roman" w:cs="Times New Roman"/>
          <w:color w:val="000000"/>
          <w:sz w:val="22"/>
          <w:szCs w:val="22"/>
        </w:rPr>
        <w:t>Private investment is therefore, as policymakers of this region pointed out, an essential ingredient for sustainable economic and pro-poor growth (White, 2005).</w:t>
      </w:r>
    </w:p>
    <w:p w:rsidR="00000000" w:rsidRDefault="00C55CA2">
      <w:pPr>
        <w:widowControl/>
        <w:spacing w:line="200" w:lineRule="atLeast"/>
        <w:ind w:firstLine="283"/>
        <w:jc w:val="both"/>
        <w:rPr>
          <w:rFonts w:eastAsia="Times New Roman" w:cs="Times New Roman"/>
          <w:color w:val="000000"/>
          <w:sz w:val="22"/>
          <w:szCs w:val="22"/>
        </w:rPr>
      </w:pPr>
      <w:r>
        <w:rPr>
          <w:rFonts w:eastAsia="Times New Roman" w:cs="Times New Roman"/>
          <w:color w:val="000000"/>
          <w:sz w:val="22"/>
          <w:szCs w:val="22"/>
        </w:rPr>
        <w:t>In addition, the African Development Bank believes that to facing the challenges of economic pr</w:t>
      </w:r>
      <w:r>
        <w:rPr>
          <w:rFonts w:eastAsia="Times New Roman" w:cs="Times New Roman"/>
          <w:color w:val="000000"/>
          <w:sz w:val="22"/>
          <w:szCs w:val="22"/>
        </w:rPr>
        <w:t>ogress, African countries must raise their domestic investment to at least 35 percent of Gross Domestic Product (GDP), of which 23 percent private investment (AfDB, 2013). Thus, private sector development is one of its priorities. In the WAEMU, initiatives</w:t>
      </w:r>
      <w:r>
        <w:rPr>
          <w:rFonts w:eastAsia="Times New Roman" w:cs="Times New Roman"/>
          <w:color w:val="000000"/>
          <w:sz w:val="22"/>
          <w:szCs w:val="22"/>
        </w:rPr>
        <w:t xml:space="preserve"> of African Development Bank are also complemented by those of the West African Development Bank.</w:t>
      </w:r>
    </w:p>
    <w:p w:rsidR="00000000" w:rsidRDefault="00C55CA2">
      <w:pPr>
        <w:widowControl/>
        <w:spacing w:line="200" w:lineRule="atLeast"/>
        <w:ind w:firstLine="283"/>
        <w:jc w:val="both"/>
        <w:rPr>
          <w:rFonts w:eastAsia="Times New Roman" w:cs="Times New Roman"/>
          <w:color w:val="000000"/>
          <w:sz w:val="22"/>
          <w:szCs w:val="22"/>
        </w:rPr>
      </w:pPr>
      <w:r>
        <w:rPr>
          <w:rFonts w:eastAsia="Times New Roman" w:cs="Times New Roman"/>
          <w:color w:val="000000"/>
          <w:sz w:val="22"/>
          <w:szCs w:val="22"/>
        </w:rPr>
        <w:t>However, countries in this region are struggling to exceed the required threshold of 23 percent domestic private investment.</w:t>
      </w:r>
    </w:p>
    <w:p w:rsidR="00000000" w:rsidRDefault="00C55CA2">
      <w:pPr>
        <w:widowControl/>
        <w:spacing w:line="200" w:lineRule="atLeast"/>
        <w:ind w:firstLine="283"/>
        <w:jc w:val="both"/>
        <w:rPr>
          <w:rFonts w:eastAsia="Times New Roman" w:cs="Times New Roman"/>
          <w:color w:val="000000"/>
          <w:sz w:val="22"/>
          <w:szCs w:val="22"/>
        </w:rPr>
      </w:pPr>
      <w:r>
        <w:rPr>
          <w:rFonts w:eastAsia="Times New Roman" w:cs="Times New Roman"/>
          <w:color w:val="000000"/>
          <w:sz w:val="22"/>
          <w:szCs w:val="22"/>
        </w:rPr>
        <w:lastRenderedPageBreak/>
        <w:t>During 2010-15, private investmen</w:t>
      </w:r>
      <w:r>
        <w:rPr>
          <w:rFonts w:eastAsia="Times New Roman" w:cs="Times New Roman"/>
          <w:color w:val="000000"/>
          <w:sz w:val="22"/>
          <w:szCs w:val="22"/>
        </w:rPr>
        <w:t>t in the WAEMU increased from 15.1 percent of GDP to 16.9 percent, while in the period 2000-09, it increased from 11.9 percent of GDP to 13.7 percent in 2009. Despite that, private investment is essential for sustainable economic growth that will help make</w:t>
      </w:r>
      <w:r>
        <w:rPr>
          <w:rFonts w:eastAsia="Times New Roman" w:cs="Times New Roman"/>
          <w:color w:val="000000"/>
          <w:sz w:val="22"/>
          <w:szCs w:val="22"/>
        </w:rPr>
        <w:t xml:space="preserve"> real inroads into reducing poverty, there is little research on the main determinants of private investment in this zone.</w:t>
      </w:r>
    </w:p>
    <w:p w:rsidR="00000000" w:rsidRDefault="00C55CA2">
      <w:pPr>
        <w:widowControl/>
        <w:spacing w:line="200" w:lineRule="atLeast"/>
        <w:ind w:firstLine="283"/>
        <w:jc w:val="both"/>
        <w:rPr>
          <w:rFonts w:eastAsia="Times New Roman" w:cs="Times New Roman"/>
          <w:color w:val="000000"/>
          <w:sz w:val="22"/>
          <w:szCs w:val="22"/>
        </w:rPr>
      </w:pPr>
      <w:r>
        <w:rPr>
          <w:rFonts w:eastAsia="Times New Roman" w:cs="Times New Roman"/>
          <w:color w:val="000000"/>
          <w:sz w:val="22"/>
          <w:szCs w:val="22"/>
        </w:rPr>
        <w:t>Of course, economic literature has been widely debated on this subject. In general, theoretical models show that private investment w</w:t>
      </w:r>
      <w:r>
        <w:rPr>
          <w:rFonts w:eastAsia="Times New Roman" w:cs="Times New Roman"/>
          <w:color w:val="000000"/>
          <w:sz w:val="22"/>
          <w:szCs w:val="22"/>
        </w:rPr>
        <w:t>ould positively relate among others to expected GDP growth, capacity use, fiscal incentives, and would negatively affect by real interest rates, output gap, inflation, exchange rate, and political and economic volatility (Guimaraes and Unteroberdoerster, 2</w:t>
      </w:r>
      <w:r>
        <w:rPr>
          <w:rFonts w:eastAsia="Times New Roman" w:cs="Times New Roman"/>
          <w:color w:val="000000"/>
          <w:sz w:val="22"/>
          <w:szCs w:val="22"/>
        </w:rPr>
        <w:t>006; and Roache, 2006). The empirical literature, however, reveals other factors that are specific to regions, context and data futures.</w:t>
      </w:r>
    </w:p>
    <w:p w:rsidR="00000000" w:rsidRDefault="00C55CA2">
      <w:pPr>
        <w:widowControl/>
        <w:spacing w:line="200" w:lineRule="atLeast"/>
        <w:ind w:firstLine="283"/>
        <w:jc w:val="both"/>
        <w:rPr>
          <w:rFonts w:eastAsia="Times New Roman" w:cs="Times New Roman"/>
          <w:color w:val="000000"/>
          <w:sz w:val="22"/>
          <w:szCs w:val="22"/>
        </w:rPr>
      </w:pPr>
      <w:r>
        <w:rPr>
          <w:rFonts w:eastAsia="Times New Roman" w:cs="Times New Roman"/>
          <w:color w:val="000000"/>
          <w:sz w:val="22"/>
          <w:szCs w:val="22"/>
        </w:rPr>
        <w:t xml:space="preserve">Existing studies on the area are limited to the determinants of foreign direct investment (Koukpo, 2005; Dje, 2007) or </w:t>
      </w:r>
      <w:r>
        <w:rPr>
          <w:rFonts w:eastAsia="Times New Roman" w:cs="Times New Roman"/>
          <w:color w:val="000000"/>
          <w:sz w:val="22"/>
          <w:szCs w:val="22"/>
        </w:rPr>
        <w:t>those of the private capital inflows (Kinda, 2008) or on the case of one member country (Dramani and Laye, 2008; Ouattara, 2004). Moreover, to our knowledge, there is only one study (Mbaye, 2006) that has dealt with this subject on the WAEMU.</w:t>
      </w:r>
    </w:p>
    <w:p w:rsidR="00000000" w:rsidRDefault="00C55CA2">
      <w:pPr>
        <w:widowControl/>
        <w:spacing w:line="200" w:lineRule="atLeast"/>
        <w:ind w:firstLine="283"/>
        <w:jc w:val="both"/>
        <w:rPr>
          <w:rFonts w:eastAsia="Times New Roman" w:cs="Times New Roman"/>
          <w:color w:val="000000"/>
          <w:sz w:val="22"/>
          <w:szCs w:val="22"/>
        </w:rPr>
      </w:pPr>
      <w:r>
        <w:rPr>
          <w:rFonts w:eastAsia="Times New Roman" w:cs="Times New Roman"/>
          <w:color w:val="000000"/>
          <w:sz w:val="22"/>
          <w:szCs w:val="22"/>
        </w:rPr>
        <w:t>But it, howev</w:t>
      </w:r>
      <w:r>
        <w:rPr>
          <w:rFonts w:eastAsia="Times New Roman" w:cs="Times New Roman"/>
          <w:color w:val="000000"/>
          <w:sz w:val="22"/>
          <w:szCs w:val="22"/>
        </w:rPr>
        <w:t>er, suffers from a methodological problem as the most of work on developing countries using panel data. As it has recently been demonstrated in the econometric literature, panel data analysis, in which both cross-sectional and time dimensions are large, pr</w:t>
      </w:r>
      <w:r>
        <w:rPr>
          <w:rFonts w:eastAsia="Times New Roman" w:cs="Times New Roman"/>
          <w:color w:val="000000"/>
          <w:sz w:val="22"/>
          <w:szCs w:val="22"/>
        </w:rPr>
        <w:t>esent non-stationary and co-integration variables and pointed out the spurious regression problem. New estimators were then developed to correct this bias and to find both short-run and long-run relationships.</w:t>
      </w:r>
    </w:p>
    <w:p w:rsidR="00000000" w:rsidRDefault="00C55CA2">
      <w:pPr>
        <w:widowControl/>
        <w:spacing w:line="200" w:lineRule="atLeast"/>
        <w:ind w:firstLine="283"/>
        <w:jc w:val="both"/>
        <w:rPr>
          <w:rFonts w:eastAsia="Times New Roman" w:cs="Times New Roman"/>
          <w:color w:val="000000"/>
          <w:sz w:val="22"/>
          <w:szCs w:val="22"/>
        </w:rPr>
      </w:pPr>
      <w:r>
        <w:rPr>
          <w:rFonts w:eastAsia="Times New Roman" w:cs="Times New Roman"/>
          <w:color w:val="000000"/>
          <w:sz w:val="22"/>
          <w:szCs w:val="22"/>
        </w:rPr>
        <w:t>Moreover, Mbaye's study also failed to explore</w:t>
      </w:r>
      <w:r>
        <w:rPr>
          <w:rFonts w:eastAsia="Times New Roman" w:cs="Times New Roman"/>
          <w:color w:val="000000"/>
          <w:sz w:val="22"/>
          <w:szCs w:val="22"/>
        </w:rPr>
        <w:t xml:space="preserve"> certain determinants highlighted recently by the theoretical models, including economic and political volatility.</w:t>
      </w:r>
    </w:p>
    <w:p w:rsidR="00000000" w:rsidRDefault="00C55CA2">
      <w:pPr>
        <w:widowControl/>
        <w:spacing w:line="200" w:lineRule="atLeast"/>
        <w:ind w:firstLine="283"/>
        <w:jc w:val="both"/>
        <w:rPr>
          <w:rFonts w:eastAsia="Times New Roman" w:cs="Times New Roman"/>
          <w:color w:val="000000"/>
          <w:sz w:val="22"/>
          <w:szCs w:val="22"/>
        </w:rPr>
      </w:pPr>
      <w:r>
        <w:rPr>
          <w:rFonts w:eastAsia="Times New Roman" w:cs="Times New Roman"/>
          <w:color w:val="000000"/>
          <w:sz w:val="22"/>
          <w:szCs w:val="22"/>
        </w:rPr>
        <w:t>In this article, we extend the literature on the private investment determinants in developing countries by exploring both short-run and long</w:t>
      </w:r>
      <w:r>
        <w:rPr>
          <w:rFonts w:eastAsia="Times New Roman" w:cs="Times New Roman"/>
          <w:color w:val="000000"/>
          <w:sz w:val="22"/>
          <w:szCs w:val="22"/>
        </w:rPr>
        <w:t>-run factors in the WAEMU region, and by using recent estimators developed in the econometric literature. The purpose is to offer a better understanding of the private sector investments in this region.</w:t>
      </w:r>
    </w:p>
    <w:p w:rsidR="00000000" w:rsidRDefault="00C55CA2">
      <w:pPr>
        <w:widowControl/>
        <w:spacing w:line="200" w:lineRule="atLeast"/>
        <w:ind w:firstLine="283"/>
        <w:jc w:val="both"/>
        <w:rPr>
          <w:rFonts w:cs="Times New Roman"/>
          <w:b/>
          <w:bCs/>
          <w:sz w:val="28"/>
          <w:szCs w:val="28"/>
        </w:rPr>
      </w:pPr>
      <w:r>
        <w:rPr>
          <w:rFonts w:eastAsia="Times New Roman" w:cs="Times New Roman"/>
          <w:color w:val="000000"/>
          <w:sz w:val="22"/>
          <w:szCs w:val="22"/>
        </w:rPr>
        <w:t xml:space="preserve">The rest of this paper is organized as follows. Next </w:t>
      </w:r>
      <w:r>
        <w:rPr>
          <w:rFonts w:eastAsia="Times New Roman" w:cs="Times New Roman"/>
          <w:color w:val="000000"/>
          <w:sz w:val="22"/>
          <w:szCs w:val="22"/>
        </w:rPr>
        <w:t>section offers an overview of the theoretical and empirical literature. Section three expose the methodological approach and section four presents results, discussion, and an analysis of the robustness. Concluding remarks and policy implications are provid</w:t>
      </w:r>
      <w:r>
        <w:rPr>
          <w:rFonts w:eastAsia="Times New Roman" w:cs="Times New Roman"/>
          <w:color w:val="000000"/>
          <w:sz w:val="22"/>
          <w:szCs w:val="22"/>
        </w:rPr>
        <w:t>ed in the last section.</w:t>
      </w:r>
    </w:p>
    <w:p w:rsidR="00000000" w:rsidRDefault="00C55CA2">
      <w:pPr>
        <w:pStyle w:val="BodyText"/>
        <w:widowControl/>
        <w:numPr>
          <w:ilvl w:val="0"/>
          <w:numId w:val="1"/>
        </w:numPr>
        <w:spacing w:after="0" w:line="200" w:lineRule="atLeast"/>
        <w:ind w:left="0" w:firstLine="283"/>
        <w:jc w:val="both"/>
        <w:rPr>
          <w:rFonts w:cs="Times New Roman"/>
          <w:sz w:val="22"/>
          <w:szCs w:val="22"/>
        </w:rPr>
      </w:pPr>
      <w:r>
        <w:rPr>
          <w:rFonts w:cs="Times New Roman"/>
          <w:b/>
          <w:bCs/>
          <w:sz w:val="28"/>
          <w:szCs w:val="28"/>
        </w:rPr>
        <w:t>Overview of the literature</w:t>
      </w:r>
    </w:p>
    <w:p w:rsidR="00000000" w:rsidRDefault="00C55CA2">
      <w:pPr>
        <w:widowControl/>
        <w:spacing w:line="200" w:lineRule="atLeast"/>
        <w:ind w:firstLine="283"/>
        <w:jc w:val="both"/>
        <w:rPr>
          <w:rFonts w:cs="Times New Roman"/>
          <w:i/>
          <w:iCs/>
        </w:rPr>
      </w:pPr>
      <w:r>
        <w:rPr>
          <w:rFonts w:cs="Times New Roman"/>
          <w:sz w:val="22"/>
          <w:szCs w:val="22"/>
        </w:rPr>
        <w:t>Private investment behavior has been widely debated in the economic literature, as well as theoretical works and empirical studies for a variety of countries.</w:t>
      </w:r>
    </w:p>
    <w:p w:rsidR="00000000" w:rsidRDefault="00C55CA2">
      <w:pPr>
        <w:widowControl/>
        <w:spacing w:line="200" w:lineRule="atLeast"/>
        <w:ind w:firstLine="283"/>
        <w:jc w:val="both"/>
        <w:rPr>
          <w:rFonts w:cs="Times New Roman"/>
          <w:sz w:val="22"/>
          <w:szCs w:val="22"/>
        </w:rPr>
      </w:pPr>
      <w:r>
        <w:rPr>
          <w:rFonts w:cs="Times New Roman"/>
          <w:i/>
          <w:iCs/>
        </w:rPr>
        <w:t>2.1 Theory</w:t>
      </w:r>
    </w:p>
    <w:p w:rsidR="00000000" w:rsidRDefault="00C55CA2">
      <w:pPr>
        <w:widowControl/>
        <w:spacing w:line="200" w:lineRule="atLeast"/>
        <w:ind w:firstLine="283"/>
        <w:jc w:val="both"/>
        <w:rPr>
          <w:rFonts w:cs="Times New Roman"/>
          <w:i/>
          <w:iCs/>
        </w:rPr>
      </w:pPr>
      <w:r>
        <w:rPr>
          <w:rFonts w:cs="Times New Roman"/>
          <w:sz w:val="22"/>
          <w:szCs w:val="22"/>
        </w:rPr>
        <w:t>Theoretical models indicate that pr</w:t>
      </w:r>
      <w:r>
        <w:rPr>
          <w:rFonts w:cs="Times New Roman"/>
          <w:sz w:val="22"/>
          <w:szCs w:val="22"/>
        </w:rPr>
        <w:t xml:space="preserve">ivate investment, which comprises residential, non-residential investment by corporations, and inventories, will determine among others by real interest rates, cost of factors production and </w:t>
      </w:r>
      <w:r>
        <w:rPr>
          <w:rFonts w:cs="Times New Roman"/>
          <w:sz w:val="22"/>
          <w:szCs w:val="22"/>
        </w:rPr>
        <w:lastRenderedPageBreak/>
        <w:t>competitiveness, expected market-specific,  aggregate demand cond</w:t>
      </w:r>
      <w:r>
        <w:rPr>
          <w:rFonts w:cs="Times New Roman"/>
          <w:sz w:val="22"/>
          <w:szCs w:val="22"/>
        </w:rPr>
        <w:t>itions, and political volatility.</w:t>
      </w:r>
    </w:p>
    <w:p w:rsidR="00000000" w:rsidRDefault="00C55CA2">
      <w:pPr>
        <w:widowControl/>
        <w:spacing w:line="200" w:lineRule="atLeast"/>
        <w:ind w:firstLine="283"/>
        <w:jc w:val="both"/>
        <w:rPr>
          <w:rFonts w:cs="Times New Roman"/>
          <w:sz w:val="22"/>
          <w:szCs w:val="22"/>
        </w:rPr>
      </w:pPr>
      <w:r>
        <w:rPr>
          <w:rFonts w:cs="Times New Roman"/>
          <w:i/>
          <w:iCs/>
        </w:rPr>
        <w:t>2.1.1. Real interest rates</w:t>
      </w:r>
    </w:p>
    <w:p w:rsidR="00000000" w:rsidRDefault="00C55CA2">
      <w:pPr>
        <w:widowControl/>
        <w:spacing w:line="200" w:lineRule="atLeast"/>
        <w:ind w:firstLine="283"/>
        <w:jc w:val="both"/>
        <w:rPr>
          <w:rFonts w:cs="Times New Roman"/>
          <w:sz w:val="22"/>
          <w:szCs w:val="22"/>
        </w:rPr>
      </w:pPr>
      <w:r>
        <w:rPr>
          <w:rFonts w:cs="Times New Roman"/>
          <w:sz w:val="22"/>
          <w:szCs w:val="22"/>
        </w:rPr>
        <w:t>Neoclassical theory of investment, as first formalized by Jorgenson (1963), suggests that private investment has been negatively affected by real interest rates. For example, if interest rates hi</w:t>
      </w:r>
      <w:r>
        <w:rPr>
          <w:rFonts w:cs="Times New Roman"/>
          <w:sz w:val="22"/>
          <w:szCs w:val="22"/>
        </w:rPr>
        <w:t>gh then it makes it expensive for entrepreneurs to borrow to invest. Thus, investment is relatively less attractive because the difference between the marginal return on investment and the marginal cost of capital reduces.</w:t>
      </w:r>
    </w:p>
    <w:p w:rsidR="00000000" w:rsidRDefault="00C55CA2">
      <w:pPr>
        <w:widowControl/>
        <w:spacing w:line="200" w:lineRule="atLeast"/>
        <w:ind w:firstLine="283"/>
        <w:jc w:val="both"/>
        <w:rPr>
          <w:rFonts w:cs="Times New Roman"/>
          <w:sz w:val="22"/>
          <w:szCs w:val="22"/>
        </w:rPr>
      </w:pPr>
      <w:r>
        <w:rPr>
          <w:rFonts w:cs="Times New Roman"/>
          <w:sz w:val="22"/>
          <w:szCs w:val="22"/>
        </w:rPr>
        <w:t xml:space="preserve">McKinnon (1973) and Shaw (1973), </w:t>
      </w:r>
      <w:r>
        <w:rPr>
          <w:rFonts w:cs="Times New Roman"/>
          <w:sz w:val="22"/>
          <w:szCs w:val="22"/>
        </w:rPr>
        <w:t>known as financial liberalization theory advocates, find the opposite effect. These authors suggest that an increase in real interest rates has a positive effect on the volume and the investment quality (Lugo, 2008) because it stimulates saving and rule ou</w:t>
      </w:r>
      <w:r>
        <w:rPr>
          <w:rFonts w:cs="Times New Roman"/>
          <w:sz w:val="22"/>
          <w:szCs w:val="22"/>
        </w:rPr>
        <w:t>t investment projects with low productivity. But there is good reason to believe, however, that, in many developing countries such a flexible response of supply in the short-run may be impossible because of bottlenecks in the supply of certain factors of p</w:t>
      </w:r>
      <w:r>
        <w:rPr>
          <w:rFonts w:cs="Times New Roman"/>
          <w:sz w:val="22"/>
          <w:szCs w:val="22"/>
        </w:rPr>
        <w:t>roduction, such as skilled labor, that are essential complements to increase investment (International Monetary Fund, 1983).</w:t>
      </w:r>
    </w:p>
    <w:p w:rsidR="00000000" w:rsidRDefault="00C55CA2">
      <w:pPr>
        <w:widowControl/>
        <w:spacing w:line="200" w:lineRule="atLeast"/>
        <w:ind w:firstLine="283"/>
        <w:jc w:val="both"/>
        <w:rPr>
          <w:rFonts w:cs="Times New Roman"/>
          <w:i/>
          <w:iCs/>
        </w:rPr>
      </w:pPr>
      <w:r>
        <w:rPr>
          <w:rFonts w:cs="Times New Roman"/>
          <w:sz w:val="22"/>
          <w:szCs w:val="22"/>
        </w:rPr>
        <w:t xml:space="preserve"> </w:t>
      </w:r>
      <w:r>
        <w:rPr>
          <w:rFonts w:cs="Times New Roman"/>
          <w:sz w:val="22"/>
          <w:szCs w:val="22"/>
        </w:rPr>
        <w:t>In the new consensus in macroeconomic about interest rates behavior, or the so-called new Keynesian economics (Woodford, 2003; Ban</w:t>
      </w:r>
      <w:r>
        <w:rPr>
          <w:rFonts w:cs="Times New Roman"/>
          <w:sz w:val="22"/>
          <w:szCs w:val="22"/>
        </w:rPr>
        <w:t>k of England, 2005), there is no link between real interest rate and private investment in the long-term. The real interest rate is an equilibrium and this rate is often seen to correspond to what is called the Wicksellian (1898) “</w:t>
      </w:r>
      <w:r>
        <w:rPr>
          <w:rFonts w:cs="Times New Roman"/>
          <w:i/>
          <w:iCs/>
          <w:sz w:val="22"/>
          <w:szCs w:val="22"/>
        </w:rPr>
        <w:t>natural rate</w:t>
      </w:r>
      <w:r>
        <w:rPr>
          <w:rFonts w:cs="Times New Roman"/>
          <w:sz w:val="22"/>
          <w:szCs w:val="22"/>
        </w:rPr>
        <w:t>” of interest</w:t>
      </w:r>
      <w:r>
        <w:rPr>
          <w:rFonts w:cs="Times New Roman"/>
          <w:sz w:val="22"/>
          <w:szCs w:val="22"/>
        </w:rPr>
        <w:t xml:space="preserve"> rate. The equilibrium real interest rate secures output at the supply equilibrium level (zero output gap) with consistent inflation (Arestis, 2009). In the short-run, however, there is a link between real interest rate, private investment and output due t</w:t>
      </w:r>
      <w:r>
        <w:rPr>
          <w:rFonts w:cs="Times New Roman"/>
          <w:sz w:val="22"/>
          <w:szCs w:val="22"/>
        </w:rPr>
        <w:t>o the discrepancy between actual and equilibrium rate of interest rate.</w:t>
      </w:r>
    </w:p>
    <w:p w:rsidR="00000000" w:rsidRDefault="00C55CA2">
      <w:pPr>
        <w:widowControl/>
        <w:spacing w:line="200" w:lineRule="atLeast"/>
        <w:ind w:firstLine="283"/>
        <w:jc w:val="both"/>
        <w:rPr>
          <w:rFonts w:cs="Times New Roman"/>
          <w:sz w:val="22"/>
          <w:szCs w:val="22"/>
        </w:rPr>
      </w:pPr>
      <w:r>
        <w:rPr>
          <w:rFonts w:cs="Times New Roman"/>
          <w:i/>
          <w:iCs/>
        </w:rPr>
        <w:t>2.1.2. Cost of factors production and competitiveness</w:t>
      </w:r>
    </w:p>
    <w:p w:rsidR="00000000" w:rsidRDefault="00C55CA2">
      <w:pPr>
        <w:widowControl/>
        <w:spacing w:line="200" w:lineRule="atLeast"/>
        <w:ind w:firstLine="283"/>
        <w:jc w:val="both"/>
        <w:rPr>
          <w:rFonts w:cs="Times New Roman"/>
          <w:sz w:val="22"/>
          <w:szCs w:val="22"/>
        </w:rPr>
      </w:pPr>
      <w:r>
        <w:rPr>
          <w:rFonts w:cs="Times New Roman"/>
          <w:sz w:val="22"/>
          <w:szCs w:val="22"/>
        </w:rPr>
        <w:t>The cost and productivity of factors production and competitiveness, as the determinants of private investment, operate through th</w:t>
      </w:r>
      <w:r>
        <w:rPr>
          <w:rFonts w:cs="Times New Roman"/>
          <w:sz w:val="22"/>
          <w:szCs w:val="22"/>
        </w:rPr>
        <w:t>ree main channels: real exchange rate variability, capital good and intermediate goods, such as: oil, electricity or water, and other inputs of production such as wages. In general, if the cost of factors production increases, the marginal cost of investme</w:t>
      </w:r>
      <w:r>
        <w:rPr>
          <w:rFonts w:cs="Times New Roman"/>
          <w:sz w:val="22"/>
          <w:szCs w:val="22"/>
        </w:rPr>
        <w:t>nt will rise, and the capital stock desire will decrease and investments as well.</w:t>
      </w:r>
    </w:p>
    <w:p w:rsidR="00000000" w:rsidRDefault="00C55CA2">
      <w:pPr>
        <w:widowControl/>
        <w:spacing w:line="200" w:lineRule="atLeast"/>
        <w:ind w:firstLine="283"/>
        <w:jc w:val="both"/>
        <w:rPr>
          <w:rFonts w:cs="Times New Roman"/>
          <w:sz w:val="22"/>
          <w:szCs w:val="22"/>
        </w:rPr>
      </w:pPr>
      <w:r>
        <w:rPr>
          <w:rFonts w:cs="Times New Roman"/>
          <w:sz w:val="22"/>
          <w:szCs w:val="22"/>
        </w:rPr>
        <w:t>Theoretical models show that exchange rate volatility is positively related to private investment because it raises the expected profitability of capital, increases the desir</w:t>
      </w:r>
      <w:r>
        <w:rPr>
          <w:rFonts w:cs="Times New Roman"/>
          <w:sz w:val="22"/>
          <w:szCs w:val="22"/>
        </w:rPr>
        <w:t>ed capital stock and boosts the level of investment (Hartman, 1972). But if the volatility raises profitability of all investment projects, it makes their ranking uncertain (Bernanke, 1983).</w:t>
      </w:r>
    </w:p>
    <w:p w:rsidR="00000000" w:rsidRDefault="00C55CA2">
      <w:pPr>
        <w:widowControl/>
        <w:spacing w:line="200" w:lineRule="atLeast"/>
        <w:ind w:firstLine="283"/>
        <w:jc w:val="both"/>
        <w:rPr>
          <w:rFonts w:cs="Times New Roman"/>
          <w:sz w:val="22"/>
          <w:szCs w:val="22"/>
        </w:rPr>
      </w:pPr>
      <w:r>
        <w:rPr>
          <w:rFonts w:cs="Times New Roman"/>
          <w:sz w:val="22"/>
          <w:szCs w:val="22"/>
        </w:rPr>
        <w:t xml:space="preserve">Besides these aspects, fiscal and monetary infrastructures, such </w:t>
      </w:r>
      <w:r>
        <w:rPr>
          <w:rFonts w:cs="Times New Roman"/>
          <w:sz w:val="22"/>
          <w:szCs w:val="22"/>
        </w:rPr>
        <w:t>as, credit rating, and macroeconomic stability, such as less variability of government consumption, nominal money growth, and real exchange, are also positively related to private investment. Macroeconomic stability signs that the economy can support priva</w:t>
      </w:r>
      <w:r>
        <w:rPr>
          <w:rFonts w:cs="Times New Roman"/>
          <w:sz w:val="22"/>
          <w:szCs w:val="22"/>
        </w:rPr>
        <w:t xml:space="preserve">te investment because it reduces the risk of investment and promotes investment, in particular the long-run investment (Manyong and al., 2015). As the long-run private investment is largely irreversible, private </w:t>
      </w:r>
      <w:r>
        <w:rPr>
          <w:rFonts w:cs="Times New Roman"/>
          <w:sz w:val="22"/>
          <w:szCs w:val="22"/>
        </w:rPr>
        <w:lastRenderedPageBreak/>
        <w:t xml:space="preserve">investors will be unwilling to commit large </w:t>
      </w:r>
      <w:r>
        <w:rPr>
          <w:rFonts w:cs="Times New Roman"/>
          <w:sz w:val="22"/>
          <w:szCs w:val="22"/>
        </w:rPr>
        <w:t>expenditure to long-term fixed investment when there is economic volatility.</w:t>
      </w:r>
    </w:p>
    <w:p w:rsidR="00000000" w:rsidRDefault="00C55CA2">
      <w:pPr>
        <w:widowControl/>
        <w:spacing w:line="200" w:lineRule="atLeast"/>
        <w:ind w:firstLine="283"/>
        <w:jc w:val="both"/>
        <w:rPr>
          <w:rFonts w:cs="Times New Roman"/>
          <w:i/>
          <w:iCs/>
        </w:rPr>
      </w:pPr>
      <w:r>
        <w:rPr>
          <w:rFonts w:cs="Times New Roman"/>
          <w:sz w:val="22"/>
          <w:szCs w:val="22"/>
        </w:rPr>
        <w:t>Recently, Pischke (2005) suggest that, if firm can increase worker productivity through investments in capital or training and claim the resulting rents, the increase in wage cost</w:t>
      </w:r>
      <w:r>
        <w:rPr>
          <w:rFonts w:cs="Times New Roman"/>
          <w:sz w:val="22"/>
          <w:szCs w:val="22"/>
        </w:rPr>
        <w:t>s  induces an increase in fixed capital investments.</w:t>
      </w:r>
    </w:p>
    <w:p w:rsidR="00000000" w:rsidRDefault="00C55CA2">
      <w:pPr>
        <w:widowControl/>
        <w:spacing w:line="200" w:lineRule="atLeast"/>
        <w:ind w:firstLine="283"/>
        <w:jc w:val="both"/>
        <w:rPr>
          <w:rFonts w:cs="Times New Roman"/>
          <w:sz w:val="22"/>
          <w:szCs w:val="22"/>
        </w:rPr>
      </w:pPr>
      <w:r>
        <w:rPr>
          <w:rFonts w:cs="Times New Roman"/>
          <w:i/>
          <w:iCs/>
        </w:rPr>
        <w:t>2.1.3. Expected market-specific and aggregate demand conditions</w:t>
      </w:r>
    </w:p>
    <w:p w:rsidR="00000000" w:rsidRDefault="00C55CA2">
      <w:pPr>
        <w:widowControl/>
        <w:spacing w:line="200" w:lineRule="atLeast"/>
        <w:ind w:firstLine="283"/>
        <w:jc w:val="both"/>
        <w:rPr>
          <w:rFonts w:cs="Times New Roman"/>
          <w:sz w:val="22"/>
          <w:szCs w:val="22"/>
        </w:rPr>
      </w:pPr>
      <w:r>
        <w:rPr>
          <w:rFonts w:cs="Times New Roman"/>
          <w:sz w:val="22"/>
          <w:szCs w:val="22"/>
        </w:rPr>
        <w:t>Market size has been identified in the literature as an important determinant of private investment. Theoretically, the larger the market s</w:t>
      </w:r>
      <w:r>
        <w:rPr>
          <w:rFonts w:cs="Times New Roman"/>
          <w:sz w:val="22"/>
          <w:szCs w:val="22"/>
        </w:rPr>
        <w:t>ize, the higher the demand for more foods and services and the desire to capital stock progresses and investment due to the induced scale effect on the profitability.</w:t>
      </w:r>
    </w:p>
    <w:p w:rsidR="00000000" w:rsidRDefault="00C55CA2">
      <w:pPr>
        <w:widowControl/>
        <w:spacing w:line="200" w:lineRule="atLeast"/>
        <w:ind w:firstLine="283"/>
        <w:jc w:val="both"/>
        <w:rPr>
          <w:rFonts w:cs="Times New Roman"/>
          <w:sz w:val="22"/>
          <w:szCs w:val="22"/>
        </w:rPr>
      </w:pPr>
      <w:r>
        <w:rPr>
          <w:rFonts w:cs="Times New Roman"/>
          <w:sz w:val="22"/>
          <w:szCs w:val="22"/>
        </w:rPr>
        <w:t>Openness to international trade is also an important aspect of market-specific because th</w:t>
      </w:r>
      <w:r>
        <w:rPr>
          <w:rFonts w:cs="Times New Roman"/>
          <w:sz w:val="22"/>
          <w:szCs w:val="22"/>
        </w:rPr>
        <w:t>e more open an economy, the more it attracts foreign private investment in international tradable goods due to the potential for participation in internal trade.</w:t>
      </w:r>
    </w:p>
    <w:p w:rsidR="00000000" w:rsidRDefault="00C55CA2">
      <w:pPr>
        <w:widowControl/>
        <w:spacing w:line="200" w:lineRule="atLeast"/>
        <w:ind w:firstLine="283"/>
        <w:jc w:val="both"/>
        <w:rPr>
          <w:rFonts w:cs="Times New Roman"/>
          <w:i/>
          <w:iCs/>
        </w:rPr>
      </w:pPr>
      <w:r>
        <w:rPr>
          <w:rFonts w:cs="Times New Roman"/>
          <w:sz w:val="22"/>
          <w:szCs w:val="22"/>
        </w:rPr>
        <w:t>Besides these aspects, fiscal and monetary infrastructures, for example, credit rating, and  m</w:t>
      </w:r>
      <w:r>
        <w:rPr>
          <w:rFonts w:cs="Times New Roman"/>
          <w:sz w:val="22"/>
          <w:szCs w:val="22"/>
        </w:rPr>
        <w:t xml:space="preserve">acroeconomy stability, such as less variability of government consumption, nominal money growth, and real exchange, are also positively related to private investment. Macroeconomic stability signs that the economy can support private investment because it </w:t>
      </w:r>
      <w:r>
        <w:rPr>
          <w:rFonts w:cs="Times New Roman"/>
          <w:sz w:val="22"/>
          <w:szCs w:val="22"/>
        </w:rPr>
        <w:t xml:space="preserve">reduces the risk of investment and promotes investment, in particular the long-run investment (Manyong and al., 2005). As the long-run private investment is largely irreversible, private investors will be unwilling to commit large expenditure to long-term </w:t>
      </w:r>
      <w:r>
        <w:rPr>
          <w:rFonts w:cs="Times New Roman"/>
          <w:sz w:val="22"/>
          <w:szCs w:val="22"/>
        </w:rPr>
        <w:t>fixed investment when there is economic volatility.</w:t>
      </w:r>
    </w:p>
    <w:p w:rsidR="00000000" w:rsidRDefault="00C55CA2">
      <w:pPr>
        <w:widowControl/>
        <w:spacing w:line="200" w:lineRule="atLeast"/>
        <w:ind w:firstLine="283"/>
        <w:jc w:val="both"/>
        <w:rPr>
          <w:rFonts w:cs="Times New Roman"/>
          <w:sz w:val="22"/>
          <w:szCs w:val="22"/>
        </w:rPr>
      </w:pPr>
      <w:r>
        <w:rPr>
          <w:rFonts w:cs="Times New Roman"/>
          <w:i/>
          <w:iCs/>
        </w:rPr>
        <w:t>2.1.4. Political volatility</w:t>
      </w:r>
    </w:p>
    <w:p w:rsidR="00000000" w:rsidRDefault="00C55CA2">
      <w:pPr>
        <w:widowControl/>
        <w:spacing w:line="200" w:lineRule="atLeast"/>
        <w:ind w:firstLine="283"/>
        <w:jc w:val="both"/>
        <w:rPr>
          <w:rFonts w:cs="Times New Roman"/>
          <w:sz w:val="22"/>
          <w:szCs w:val="22"/>
        </w:rPr>
      </w:pPr>
      <w:r>
        <w:rPr>
          <w:rFonts w:cs="Times New Roman"/>
          <w:sz w:val="22"/>
          <w:szCs w:val="22"/>
        </w:rPr>
        <w:t>Theory indicates the positive link relationship between political stability and private investment. Serven (2003) suggests that this relationship is based on the assumption tha</w:t>
      </w:r>
      <w:r>
        <w:rPr>
          <w:rFonts w:cs="Times New Roman"/>
          <w:sz w:val="22"/>
          <w:szCs w:val="22"/>
        </w:rPr>
        <w:t>t one part of private investment, for example, long-run investment or fixed investment, is irreversible. This irreversibility of investment may be subject to a credibility problem whereby a government has an incentive to change taxes or regulations ex post</w:t>
      </w:r>
      <w:r>
        <w:rPr>
          <w:rFonts w:cs="Times New Roman"/>
          <w:sz w:val="22"/>
          <w:szCs w:val="22"/>
        </w:rPr>
        <w:t xml:space="preserve"> with the knowledge that investors can not easily withdraw (Stasavage, 2000). One way of illustrating this is with the well-known time-consistency problem in capital taxation. Given that capital investment decisions often involve a high degree of irreversi</w:t>
      </w:r>
      <w:r>
        <w:rPr>
          <w:rFonts w:cs="Times New Roman"/>
          <w:sz w:val="22"/>
          <w:szCs w:val="22"/>
        </w:rPr>
        <w:t>bility, governments can face incentives to raise capital taxes ex post.</w:t>
      </w:r>
    </w:p>
    <w:p w:rsidR="00000000" w:rsidRDefault="00C55CA2">
      <w:pPr>
        <w:widowControl/>
        <w:spacing w:line="200" w:lineRule="atLeast"/>
        <w:ind w:firstLine="283"/>
        <w:jc w:val="both"/>
        <w:rPr>
          <w:rFonts w:cs="Times New Roman"/>
          <w:sz w:val="22"/>
          <w:szCs w:val="22"/>
        </w:rPr>
      </w:pPr>
      <w:r>
        <w:rPr>
          <w:rFonts w:cs="Times New Roman"/>
          <w:sz w:val="22"/>
          <w:szCs w:val="22"/>
        </w:rPr>
        <w:t>The positive relationship between political stability and private investment assumes then that private investors avoid imperfect competition and decreasing to scale (Dixit and Pindyck,</w:t>
      </w:r>
      <w:r>
        <w:rPr>
          <w:rFonts w:cs="Times New Roman"/>
          <w:sz w:val="22"/>
          <w:szCs w:val="22"/>
        </w:rPr>
        <w:t xml:space="preserve"> 1993).</w:t>
      </w:r>
    </w:p>
    <w:p w:rsidR="00000000" w:rsidRDefault="00C55CA2">
      <w:pPr>
        <w:widowControl/>
        <w:spacing w:line="200" w:lineRule="atLeast"/>
        <w:ind w:firstLine="283"/>
        <w:jc w:val="both"/>
        <w:rPr>
          <w:rFonts w:cs="Times New Roman"/>
          <w:i/>
          <w:iCs/>
        </w:rPr>
      </w:pPr>
      <w:r>
        <w:rPr>
          <w:rFonts w:cs="Times New Roman"/>
          <w:sz w:val="22"/>
          <w:szCs w:val="22"/>
        </w:rPr>
        <w:t>Since theory pointed out political stability importance in the private investment process, it has produced very little consensus on the measures of political instability. Political instability can be measured by the frequency of revolutions, coups,</w:t>
      </w:r>
      <w:r>
        <w:rPr>
          <w:rFonts w:cs="Times New Roman"/>
          <w:sz w:val="22"/>
          <w:szCs w:val="22"/>
        </w:rPr>
        <w:t xml:space="preserve"> or wars (Mankiw and al., 1995). It can also be computed by frequent regime changes, or political uncertainty and violence (Person and Tabellini, 2006) or by political freedom and index of democracy (Fend, 2001).</w:t>
      </w:r>
    </w:p>
    <w:p w:rsidR="00000000" w:rsidRDefault="00C55CA2">
      <w:pPr>
        <w:widowControl/>
        <w:spacing w:line="200" w:lineRule="atLeast"/>
        <w:ind w:firstLine="283"/>
        <w:jc w:val="both"/>
        <w:rPr>
          <w:rFonts w:cs="Times New Roman"/>
          <w:sz w:val="22"/>
          <w:szCs w:val="22"/>
        </w:rPr>
      </w:pPr>
      <w:r>
        <w:rPr>
          <w:rFonts w:cs="Times New Roman"/>
          <w:i/>
          <w:iCs/>
        </w:rPr>
        <w:t>2.2. Empirical evidence</w:t>
      </w:r>
    </w:p>
    <w:p w:rsidR="00000000" w:rsidRDefault="00C55CA2">
      <w:pPr>
        <w:widowControl/>
        <w:spacing w:line="200" w:lineRule="atLeast"/>
        <w:ind w:firstLine="283"/>
        <w:jc w:val="both"/>
        <w:rPr>
          <w:rFonts w:cs="Times New Roman"/>
          <w:sz w:val="22"/>
          <w:szCs w:val="22"/>
        </w:rPr>
      </w:pPr>
      <w:r>
        <w:rPr>
          <w:rFonts w:cs="Times New Roman"/>
          <w:sz w:val="22"/>
          <w:szCs w:val="22"/>
        </w:rPr>
        <w:t>Most empirical stud</w:t>
      </w:r>
      <w:r>
        <w:rPr>
          <w:rFonts w:cs="Times New Roman"/>
          <w:sz w:val="22"/>
          <w:szCs w:val="22"/>
        </w:rPr>
        <w:t>ies about the determinants of private investment confirmed theoretical predictions. Some works, however, find contrary effects while others show mixed effects.</w:t>
      </w:r>
    </w:p>
    <w:p w:rsidR="00000000" w:rsidRDefault="00C55CA2">
      <w:pPr>
        <w:widowControl/>
        <w:spacing w:line="200" w:lineRule="atLeast"/>
        <w:ind w:firstLine="283"/>
        <w:jc w:val="both"/>
        <w:rPr>
          <w:rFonts w:cs="Times New Roman"/>
          <w:sz w:val="22"/>
          <w:szCs w:val="22"/>
        </w:rPr>
      </w:pPr>
      <w:r>
        <w:rPr>
          <w:rFonts w:cs="Times New Roman"/>
          <w:sz w:val="22"/>
          <w:szCs w:val="22"/>
        </w:rPr>
        <w:lastRenderedPageBreak/>
        <w:t>With regard to the real interest rate, Ghura and Goodwin (2000) suggest that, in developing coun</w:t>
      </w:r>
      <w:r>
        <w:rPr>
          <w:rFonts w:cs="Times New Roman"/>
          <w:sz w:val="22"/>
          <w:szCs w:val="22"/>
        </w:rPr>
        <w:t>tries, such as Asia, Sub-Saharan Africa, and Latin America, from 1975 to 1992, private investment is stimulated by declines in real interest rates. Greene and Villanueva (1991) find the same results in developing countries, from 1975 to 1987, while Khurshi</w:t>
      </w:r>
      <w:r>
        <w:rPr>
          <w:rFonts w:cs="Times New Roman"/>
          <w:sz w:val="22"/>
          <w:szCs w:val="22"/>
        </w:rPr>
        <w:t>d (2015) indicates that interest rate has negative relation in the long-run but positive in the short-run on private investment in Jiangsu Province of China from 2003 to 2012.</w:t>
      </w:r>
    </w:p>
    <w:p w:rsidR="00000000" w:rsidRDefault="00C55CA2">
      <w:pPr>
        <w:widowControl/>
        <w:spacing w:line="200" w:lineRule="atLeast"/>
        <w:ind w:firstLine="283"/>
        <w:jc w:val="both"/>
        <w:rPr>
          <w:rFonts w:cs="Times New Roman"/>
          <w:sz w:val="22"/>
          <w:szCs w:val="22"/>
        </w:rPr>
      </w:pPr>
      <w:r>
        <w:rPr>
          <w:rFonts w:cs="Times New Roman"/>
          <w:sz w:val="22"/>
          <w:szCs w:val="22"/>
        </w:rPr>
        <w:t>On the other hand, Athukorala (1998) confirms financial liberalization school of</w:t>
      </w:r>
      <w:r>
        <w:rPr>
          <w:rFonts w:cs="Times New Roman"/>
          <w:sz w:val="22"/>
          <w:szCs w:val="22"/>
        </w:rPr>
        <w:t xml:space="preserve"> thought theory. He demonstrates through an empirical inquiry into the interest rate, saving, and investment nexus in the Indian economy, from 1955 to 1995, that higher real interest rates seem to promote both financial and total savings, and stimulate pri</w:t>
      </w:r>
      <w:r>
        <w:rPr>
          <w:rFonts w:cs="Times New Roman"/>
          <w:sz w:val="22"/>
          <w:szCs w:val="22"/>
        </w:rPr>
        <w:t>vate investment. Munir and al. (2010) find the same results in Pakistan during 1973 to 2007, supporting complementarity hypothesis of Mckinnon-Shaw (1973).</w:t>
      </w:r>
    </w:p>
    <w:p w:rsidR="00000000" w:rsidRDefault="00C55CA2">
      <w:pPr>
        <w:widowControl/>
        <w:spacing w:line="200" w:lineRule="atLeast"/>
        <w:ind w:firstLine="283"/>
        <w:jc w:val="both"/>
        <w:rPr>
          <w:rFonts w:cs="Times New Roman"/>
          <w:sz w:val="22"/>
          <w:szCs w:val="22"/>
        </w:rPr>
      </w:pPr>
      <w:r>
        <w:rPr>
          <w:rFonts w:cs="Times New Roman"/>
          <w:sz w:val="22"/>
          <w:szCs w:val="22"/>
        </w:rPr>
        <w:t>Osundina and al. (2014) find no strong empirical evidence that there is a link between interest rate</w:t>
      </w:r>
      <w:r>
        <w:rPr>
          <w:rFonts w:cs="Times New Roman"/>
          <w:sz w:val="22"/>
          <w:szCs w:val="22"/>
        </w:rPr>
        <w:t xml:space="preserve"> and investment decision in Nigeria.</w:t>
      </w:r>
    </w:p>
    <w:p w:rsidR="00000000" w:rsidRDefault="00C55CA2">
      <w:pPr>
        <w:widowControl/>
        <w:spacing w:line="200" w:lineRule="atLeast"/>
        <w:ind w:firstLine="283"/>
        <w:jc w:val="both"/>
        <w:rPr>
          <w:rFonts w:cs="Times New Roman"/>
          <w:sz w:val="22"/>
          <w:szCs w:val="22"/>
        </w:rPr>
      </w:pPr>
      <w:r>
        <w:rPr>
          <w:rFonts w:cs="Times New Roman"/>
          <w:sz w:val="22"/>
          <w:szCs w:val="22"/>
        </w:rPr>
        <w:t>Others studies emphasized that the availability and not the cost of finance represents the major constraint to private investment (Wai and Wond, 1982).</w:t>
      </w:r>
    </w:p>
    <w:p w:rsidR="00000000" w:rsidRDefault="00C55CA2">
      <w:pPr>
        <w:widowControl/>
        <w:spacing w:line="200" w:lineRule="atLeast"/>
        <w:ind w:firstLine="283"/>
        <w:jc w:val="both"/>
        <w:rPr>
          <w:rFonts w:cs="Times New Roman"/>
          <w:sz w:val="22"/>
          <w:szCs w:val="22"/>
        </w:rPr>
      </w:pPr>
      <w:r>
        <w:rPr>
          <w:rFonts w:cs="Times New Roman"/>
          <w:sz w:val="22"/>
          <w:szCs w:val="22"/>
        </w:rPr>
        <w:t>Concerning the real exchange rate, Dhakal and al. (2010) suggest th</w:t>
      </w:r>
      <w:r>
        <w:rPr>
          <w:rFonts w:cs="Times New Roman"/>
          <w:sz w:val="22"/>
          <w:szCs w:val="22"/>
        </w:rPr>
        <w:t>at exchange rate volatility has a favorable effect on private investment through foreign direct investment in China, Indonesia, Malaysia, Philippines, South Korea, and Thailand, countries that have continued to attract considerable foreign direct investmen</w:t>
      </w:r>
      <w:r>
        <w:rPr>
          <w:rFonts w:cs="Times New Roman"/>
          <w:sz w:val="22"/>
          <w:szCs w:val="22"/>
        </w:rPr>
        <w:t>t. Results are consistent with theoretical predictions.</w:t>
      </w:r>
    </w:p>
    <w:p w:rsidR="00000000" w:rsidRDefault="00C55CA2">
      <w:pPr>
        <w:widowControl/>
        <w:spacing w:line="200" w:lineRule="atLeast"/>
        <w:ind w:firstLine="283"/>
        <w:jc w:val="both"/>
        <w:rPr>
          <w:rFonts w:cs="Times New Roman"/>
          <w:sz w:val="22"/>
          <w:szCs w:val="22"/>
        </w:rPr>
      </w:pPr>
      <w:r>
        <w:rPr>
          <w:rFonts w:cs="Times New Roman"/>
          <w:sz w:val="22"/>
          <w:szCs w:val="22"/>
        </w:rPr>
        <w:t>Serven (2003) finds, however, that it has a strong negative effect on investment, after controlling for other standard investment determinants and taking into account their potential endogeneity. In a</w:t>
      </w:r>
      <w:r>
        <w:rPr>
          <w:rFonts w:cs="Times New Roman"/>
          <w:sz w:val="22"/>
          <w:szCs w:val="22"/>
        </w:rPr>
        <w:t xml:space="preserve">ddition, he indicates that there is some evidence of threshold effects, so that uncertainty only matters when it exceeds some critical level. In addition, the negative effect of real exchange rate uncertainty on investment is much larger in economies that </w:t>
      </w:r>
      <w:r>
        <w:rPr>
          <w:rFonts w:cs="Times New Roman"/>
          <w:sz w:val="22"/>
          <w:szCs w:val="22"/>
        </w:rPr>
        <w:t>are highly open and in those with less developed financial systems.</w:t>
      </w:r>
    </w:p>
    <w:p w:rsidR="00000000" w:rsidRDefault="00C55CA2">
      <w:pPr>
        <w:widowControl/>
        <w:spacing w:line="200" w:lineRule="atLeast"/>
        <w:ind w:firstLine="283"/>
        <w:jc w:val="both"/>
        <w:rPr>
          <w:rFonts w:cs="Times New Roman"/>
          <w:sz w:val="22"/>
          <w:szCs w:val="22"/>
        </w:rPr>
      </w:pPr>
      <w:r>
        <w:rPr>
          <w:rFonts w:cs="Times New Roman"/>
          <w:sz w:val="22"/>
          <w:szCs w:val="22"/>
        </w:rPr>
        <w:t xml:space="preserve">About other inputs of production such as wages, Cuong (2013) employs a difference-in-difference method with propensity score matching and finds no statistically significant effect on firm </w:t>
      </w:r>
      <w:r>
        <w:rPr>
          <w:rFonts w:cs="Times New Roman"/>
          <w:sz w:val="22"/>
          <w:szCs w:val="22"/>
        </w:rPr>
        <w:t>profits in Vietnam after a minimum wage hike of about 20 percent in 2015, while Rama (2001) suggests that an increase in wages by, for example, doubling the minimum wage, has led to a decrease in employment of 2 percent and 5 percent decrease in investment</w:t>
      </w:r>
      <w:r>
        <w:rPr>
          <w:rFonts w:cs="Times New Roman"/>
          <w:sz w:val="22"/>
          <w:szCs w:val="22"/>
        </w:rPr>
        <w:t xml:space="preserve">  in the Indonesia.</w:t>
      </w:r>
    </w:p>
    <w:p w:rsidR="00000000" w:rsidRDefault="00C55CA2">
      <w:pPr>
        <w:widowControl/>
        <w:spacing w:line="200" w:lineRule="atLeast"/>
        <w:ind w:firstLine="283"/>
        <w:jc w:val="both"/>
        <w:rPr>
          <w:rFonts w:cs="Times New Roman"/>
          <w:sz w:val="22"/>
          <w:szCs w:val="22"/>
        </w:rPr>
      </w:pPr>
      <w:r>
        <w:rPr>
          <w:rFonts w:cs="Times New Roman"/>
          <w:sz w:val="22"/>
          <w:szCs w:val="22"/>
        </w:rPr>
        <w:t>As for the effect of macroeconomic stability, constructing an index of macroeconomic volatility that is a weighted average of three indicators: government consumption, nominal money growth, and real exchange rate, proxying for fiscal, m</w:t>
      </w:r>
      <w:r>
        <w:rPr>
          <w:rFonts w:cs="Times New Roman"/>
          <w:sz w:val="22"/>
          <w:szCs w:val="22"/>
        </w:rPr>
        <w:t>onetary and external volatility, respectively, Aizenman and Marion (1998) find a significant correlation between macroeconomic stability and private investment in developing countries.</w:t>
      </w:r>
    </w:p>
    <w:p w:rsidR="00000000" w:rsidRDefault="00C55CA2">
      <w:pPr>
        <w:widowControl/>
        <w:spacing w:line="200" w:lineRule="atLeast"/>
        <w:ind w:firstLine="283"/>
        <w:jc w:val="both"/>
        <w:rPr>
          <w:rFonts w:cs="Times New Roman"/>
          <w:b/>
          <w:bCs/>
          <w:sz w:val="28"/>
          <w:szCs w:val="28"/>
        </w:rPr>
      </w:pPr>
      <w:r>
        <w:rPr>
          <w:rFonts w:cs="Times New Roman"/>
          <w:sz w:val="22"/>
          <w:szCs w:val="22"/>
        </w:rPr>
        <w:t>If empirical research demonstrates that the macroeconomic stability pro</w:t>
      </w:r>
      <w:r>
        <w:rPr>
          <w:rFonts w:cs="Times New Roman"/>
          <w:sz w:val="22"/>
          <w:szCs w:val="22"/>
        </w:rPr>
        <w:t>motes private investment through the confident channel, it also finds that political stability is an important aspect. Guillaumont and al. (1999) have shown that political instability is a key variable to explain the systematic under-performance of African</w:t>
      </w:r>
      <w:r>
        <w:rPr>
          <w:rFonts w:cs="Times New Roman"/>
          <w:sz w:val="22"/>
          <w:szCs w:val="22"/>
        </w:rPr>
        <w:t xml:space="preserve"> countries from 1970 to 1990. In the Middle East </w:t>
      </w:r>
      <w:r>
        <w:rPr>
          <w:rFonts w:cs="Times New Roman"/>
          <w:sz w:val="22"/>
          <w:szCs w:val="22"/>
        </w:rPr>
        <w:lastRenderedPageBreak/>
        <w:t>and North Africa region, Zouhaier and Kefi (2012) find no effect exerted by political instability on private investment and economic growth, but they, however, indicate a negative interaction between politic</w:t>
      </w:r>
      <w:r>
        <w:rPr>
          <w:rFonts w:cs="Times New Roman"/>
          <w:sz w:val="22"/>
          <w:szCs w:val="22"/>
        </w:rPr>
        <w:t>al instability and investment from 2000 to 2009.</w:t>
      </w:r>
    </w:p>
    <w:p w:rsidR="00000000" w:rsidRDefault="00C55CA2">
      <w:pPr>
        <w:widowControl/>
        <w:spacing w:line="200" w:lineRule="atLeast"/>
        <w:ind w:firstLine="283"/>
        <w:jc w:val="both"/>
        <w:rPr>
          <w:rFonts w:cs="Times New Roman"/>
          <w:i/>
          <w:iCs/>
        </w:rPr>
      </w:pPr>
      <w:r>
        <w:rPr>
          <w:rFonts w:cs="Times New Roman"/>
          <w:b/>
          <w:bCs/>
          <w:sz w:val="28"/>
          <w:szCs w:val="28"/>
        </w:rPr>
        <w:t>3. Methodology and Data</w:t>
      </w:r>
    </w:p>
    <w:p w:rsidR="00000000" w:rsidRDefault="00C55CA2">
      <w:pPr>
        <w:widowControl/>
        <w:spacing w:line="200" w:lineRule="atLeast"/>
        <w:ind w:firstLine="283"/>
        <w:jc w:val="both"/>
        <w:rPr>
          <w:rFonts w:cs="Times New Roman"/>
          <w:sz w:val="22"/>
          <w:szCs w:val="22"/>
        </w:rPr>
      </w:pPr>
      <w:r>
        <w:rPr>
          <w:rFonts w:cs="Times New Roman"/>
          <w:i/>
          <w:iCs/>
        </w:rPr>
        <w:t>3.1. Model Specification</w:t>
      </w:r>
    </w:p>
    <w:p w:rsidR="00000000" w:rsidRDefault="00C55CA2">
      <w:pPr>
        <w:widowControl/>
        <w:spacing w:line="200" w:lineRule="atLeast"/>
        <w:ind w:firstLine="283"/>
        <w:jc w:val="both"/>
      </w:pPr>
      <w:r>
        <w:rPr>
          <w:rFonts w:cs="Times New Roman"/>
          <w:sz w:val="22"/>
          <w:szCs w:val="22"/>
        </w:rPr>
        <w:t>Historically, studies addressing the determinants of private investments in developing countries have treated internal country-specific factors, external fact</w:t>
      </w:r>
      <w:r>
        <w:rPr>
          <w:rFonts w:cs="Times New Roman"/>
          <w:sz w:val="22"/>
          <w:szCs w:val="22"/>
        </w:rPr>
        <w:t>ors and policy management factors as we discuss in the above. McNabb and LeMay-Boucher (2014) pointed out that estimation of most economics models requires heterogeneous coefficients, in particular the studies addressing development economics. According to</w:t>
      </w:r>
      <w:r>
        <w:rPr>
          <w:rFonts w:cs="Times New Roman"/>
          <w:sz w:val="22"/>
          <w:szCs w:val="22"/>
        </w:rPr>
        <w:t xml:space="preserve"> this evolution in the literature, our private investment equation is assumed to take the following representation:</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300"/>
        <w:gridCol w:w="504"/>
      </w:tblGrid>
      <w:tr w:rsidR="00000000">
        <w:tc>
          <w:tcPr>
            <w:tcW w:w="6300" w:type="dxa"/>
            <w:shd w:val="clear" w:color="auto" w:fill="auto"/>
          </w:tcPr>
          <w:p w:rsidR="00000000" w:rsidRDefault="00C55CA2">
            <w:pPr>
              <w:widowControl/>
              <w:spacing w:line="200" w:lineRule="atLeast"/>
              <w:ind w:firstLine="283"/>
              <w:jc w:val="both"/>
            </w:pPr>
            <w:r>
              <w:object w:dxaOrig="1645" w:dyaOrig="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30.75pt" o:ole="" filled="t">
                  <v:fill color2="black"/>
                  <v:imagedata r:id="rId7" o:title=""/>
                </v:shape>
                <o:OLEObject Type="Embed" ProgID="opendocument.MathDocument.1" ShapeID="_x0000_i1025" DrawAspect="Content" ObjectID="_1543421977" r:id="rId8"/>
              </w:object>
            </w:r>
          </w:p>
        </w:tc>
        <w:tc>
          <w:tcPr>
            <w:tcW w:w="504" w:type="dxa"/>
            <w:shd w:val="clear" w:color="auto" w:fill="auto"/>
            <w:vAlign w:val="center"/>
          </w:tcPr>
          <w:p w:rsidR="00000000" w:rsidRDefault="00C55CA2">
            <w:pPr>
              <w:pStyle w:val="Contenudetableau"/>
              <w:jc w:val="both"/>
              <w:rPr>
                <w:rFonts w:cs="Times New Roman"/>
                <w:sz w:val="22"/>
                <w:szCs w:val="22"/>
              </w:rPr>
            </w:pPr>
            <w:r>
              <w:t> (1)</w:t>
            </w:r>
          </w:p>
        </w:tc>
      </w:tr>
    </w:tbl>
    <w:p w:rsidR="00000000" w:rsidRDefault="00C55CA2">
      <w:pPr>
        <w:widowControl/>
        <w:spacing w:line="200" w:lineRule="atLeast"/>
        <w:ind w:firstLine="283"/>
        <w:jc w:val="both"/>
        <w:rPr>
          <w:rFonts w:cs="Times New Roman"/>
          <w:sz w:val="22"/>
          <w:szCs w:val="22"/>
        </w:rPr>
      </w:pPr>
      <w:r>
        <w:rPr>
          <w:rFonts w:cs="Times New Roman"/>
          <w:sz w:val="22"/>
          <w:szCs w:val="22"/>
        </w:rPr>
        <w:t>The heterogeneous coefficients are randomly distributed around a common mean, β</w:t>
      </w:r>
      <w:r>
        <w:rPr>
          <w:rFonts w:cs="Times New Roman"/>
          <w:sz w:val="22"/>
          <w:szCs w:val="22"/>
          <w:vertAlign w:val="subscript"/>
        </w:rPr>
        <w:t>i</w:t>
      </w:r>
      <w:r>
        <w:rPr>
          <w:rFonts w:cs="Times New Roman"/>
          <w:sz w:val="22"/>
          <w:szCs w:val="22"/>
        </w:rPr>
        <w:t xml:space="preserve"> = β + ν</w:t>
      </w:r>
      <w:r>
        <w:rPr>
          <w:rFonts w:cs="Times New Roman"/>
          <w:sz w:val="22"/>
          <w:szCs w:val="22"/>
          <w:vertAlign w:val="subscript"/>
        </w:rPr>
        <w:t>i</w:t>
      </w:r>
      <w:r>
        <w:rPr>
          <w:rFonts w:cs="Times New Roman"/>
          <w:sz w:val="22"/>
          <w:szCs w:val="22"/>
        </w:rPr>
        <w:t>,  ν</w:t>
      </w:r>
      <w:r>
        <w:rPr>
          <w:rFonts w:cs="Times New Roman"/>
          <w:sz w:val="22"/>
          <w:szCs w:val="22"/>
          <w:vertAlign w:val="subscript"/>
        </w:rPr>
        <w:t>i</w:t>
      </w:r>
      <w:r>
        <w:rPr>
          <w:rFonts w:cs="Times New Roman"/>
          <w:sz w:val="22"/>
          <w:szCs w:val="22"/>
        </w:rPr>
        <w:t xml:space="preserve"> is independent and identically distributed (i.i.d) with mean zero and finite variance σ2. f</w:t>
      </w:r>
      <w:r>
        <w:rPr>
          <w:rFonts w:cs="Times New Roman"/>
          <w:sz w:val="22"/>
          <w:szCs w:val="22"/>
          <w:vertAlign w:val="subscript"/>
        </w:rPr>
        <w:t>t</w:t>
      </w:r>
      <w:r>
        <w:rPr>
          <w:rFonts w:cs="Times New Roman"/>
          <w:sz w:val="22"/>
          <w:szCs w:val="22"/>
        </w:rPr>
        <w:t xml:space="preserve"> is an unobserved common factors and α</w:t>
      </w:r>
      <w:r>
        <w:rPr>
          <w:rFonts w:cs="Times New Roman"/>
          <w:sz w:val="22"/>
          <w:szCs w:val="22"/>
          <w:vertAlign w:val="subscript"/>
        </w:rPr>
        <w:t>i</w:t>
      </w:r>
      <w:r>
        <w:rPr>
          <w:rFonts w:cs="Times New Roman"/>
          <w:sz w:val="22"/>
          <w:szCs w:val="22"/>
        </w:rPr>
        <w:t xml:space="preserve"> a heterogeneous factor.</w:t>
      </w:r>
    </w:p>
    <w:p w:rsidR="00000000" w:rsidRDefault="00C55CA2">
      <w:pPr>
        <w:widowControl/>
        <w:spacing w:line="200" w:lineRule="atLeast"/>
        <w:ind w:firstLine="283"/>
        <w:jc w:val="both"/>
        <w:rPr>
          <w:rFonts w:cs="Times New Roman"/>
          <w:sz w:val="22"/>
          <w:szCs w:val="22"/>
        </w:rPr>
      </w:pPr>
      <w:r>
        <w:rPr>
          <w:rFonts w:cs="Times New Roman"/>
          <w:sz w:val="22"/>
          <w:szCs w:val="22"/>
        </w:rPr>
        <w:t>Y</w:t>
      </w:r>
      <w:r>
        <w:rPr>
          <w:rFonts w:cs="Times New Roman"/>
          <w:sz w:val="22"/>
          <w:szCs w:val="22"/>
          <w:vertAlign w:val="subscript"/>
        </w:rPr>
        <w:t>i,t</w:t>
      </w:r>
      <w:r>
        <w:rPr>
          <w:rFonts w:cs="Times New Roman"/>
          <w:sz w:val="22"/>
          <w:szCs w:val="22"/>
        </w:rPr>
        <w:t xml:space="preserve"> represents the private investment (Ip</w:t>
      </w:r>
      <w:r>
        <w:rPr>
          <w:rFonts w:cs="Times New Roman"/>
          <w:sz w:val="22"/>
          <w:szCs w:val="22"/>
          <w:vertAlign w:val="subscript"/>
        </w:rPr>
        <w:t>i,t</w:t>
      </w:r>
      <w:r>
        <w:rPr>
          <w:rFonts w:cs="Times New Roman"/>
          <w:sz w:val="22"/>
          <w:szCs w:val="22"/>
        </w:rPr>
        <w:t>) of country i in time t. X</w:t>
      </w:r>
      <w:r>
        <w:rPr>
          <w:rFonts w:cs="Times New Roman"/>
          <w:sz w:val="22"/>
          <w:szCs w:val="22"/>
          <w:vertAlign w:val="subscript"/>
        </w:rPr>
        <w:t>i,t</w:t>
      </w:r>
      <w:r>
        <w:rPr>
          <w:rFonts w:cs="Times New Roman"/>
          <w:sz w:val="22"/>
          <w:szCs w:val="22"/>
        </w:rPr>
        <w:t>, potentials determinant</w:t>
      </w:r>
      <w:r>
        <w:rPr>
          <w:rFonts w:cs="Times New Roman"/>
          <w:sz w:val="22"/>
          <w:szCs w:val="22"/>
        </w:rPr>
        <w:t>s such as public investment (Ig), real gross domestic product (GDP), output gap (GapGDP), real interest rate (R), inflation rate (INFL), domestic credit to private sector (CRED), government consumption (GOUV), terms of trade (TOT), degree of openness to in</w:t>
      </w:r>
      <w:r>
        <w:rPr>
          <w:rFonts w:cs="Times New Roman"/>
          <w:sz w:val="22"/>
          <w:szCs w:val="22"/>
        </w:rPr>
        <w:t>ternational trade (OUV), and political stability (POLS).</w:t>
      </w:r>
    </w:p>
    <w:p w:rsidR="00000000" w:rsidRDefault="00C55CA2">
      <w:pPr>
        <w:widowControl/>
        <w:spacing w:line="200" w:lineRule="atLeast"/>
        <w:ind w:firstLine="283"/>
        <w:jc w:val="both"/>
        <w:rPr>
          <w:rFonts w:cs="Times New Roman"/>
          <w:i/>
          <w:iCs/>
        </w:rPr>
      </w:pPr>
      <w:r>
        <w:rPr>
          <w:rFonts w:cs="Times New Roman"/>
          <w:sz w:val="22"/>
          <w:szCs w:val="22"/>
        </w:rPr>
        <w:t>Ip, Ig, GDP, CRED, GOUV, are treated in logarithm form. Thus, their coefficients represent public investment, gross domestic product, domestic credit to private sector, government consumption elastic</w:t>
      </w:r>
      <w:r>
        <w:rPr>
          <w:rFonts w:cs="Times New Roman"/>
          <w:sz w:val="22"/>
          <w:szCs w:val="22"/>
        </w:rPr>
        <w:t>ities to private investment, respectively, while others coefficients capture the semi-elasticities of output gap, real interest rate, inflation, terms of trade, degree of openness to international trade, and political stability.</w:t>
      </w:r>
    </w:p>
    <w:p w:rsidR="00000000" w:rsidRDefault="00C55CA2">
      <w:pPr>
        <w:widowControl/>
        <w:spacing w:line="200" w:lineRule="atLeast"/>
        <w:ind w:firstLine="283"/>
        <w:jc w:val="both"/>
        <w:rPr>
          <w:rFonts w:cs="Times New Roman"/>
          <w:sz w:val="22"/>
          <w:szCs w:val="22"/>
        </w:rPr>
      </w:pPr>
      <w:r>
        <w:rPr>
          <w:rFonts w:cs="Times New Roman"/>
          <w:i/>
          <w:iCs/>
        </w:rPr>
        <w:t>3.2 Data Description and Pr</w:t>
      </w:r>
      <w:r>
        <w:rPr>
          <w:rFonts w:cs="Times New Roman"/>
          <w:i/>
          <w:iCs/>
        </w:rPr>
        <w:t>e Diagnostic Tests</w:t>
      </w:r>
    </w:p>
    <w:p w:rsidR="00000000" w:rsidRDefault="00C55CA2">
      <w:pPr>
        <w:widowControl/>
        <w:spacing w:line="200" w:lineRule="atLeast"/>
        <w:ind w:firstLine="283"/>
        <w:jc w:val="both"/>
        <w:rPr>
          <w:rFonts w:cs="Times New Roman"/>
          <w:sz w:val="22"/>
          <w:szCs w:val="22"/>
        </w:rPr>
      </w:pPr>
      <w:r>
        <w:rPr>
          <w:rFonts w:cs="Times New Roman"/>
          <w:sz w:val="22"/>
          <w:szCs w:val="22"/>
        </w:rPr>
        <w:t>The data set consist of annual observations, from 1995 to 2014, and cover seven member countries of the WAEMU region: Benin, Burkina Faso, Ivory Coast, Mali, Niger, Senegal, and Togo. Guinea-Bissau is excluded, due to data unavailability</w:t>
      </w:r>
      <w:r>
        <w:rPr>
          <w:rFonts w:cs="Times New Roman"/>
          <w:sz w:val="22"/>
          <w:szCs w:val="22"/>
        </w:rPr>
        <w:t>. Real interest rate have been gained from the Central Bank of West African States database, political stability, from the Global Economy database while others data were obtained from the data set of World Development Indicators (See Appendix A for definit</w:t>
      </w:r>
      <w:r>
        <w:rPr>
          <w:rFonts w:cs="Times New Roman"/>
          <w:sz w:val="22"/>
          <w:szCs w:val="22"/>
        </w:rPr>
        <w:t>ions and sources of variables).</w:t>
      </w:r>
    </w:p>
    <w:p w:rsidR="00000000" w:rsidRDefault="00C55CA2">
      <w:pPr>
        <w:widowControl/>
        <w:spacing w:line="200" w:lineRule="atLeast"/>
        <w:ind w:firstLine="283"/>
        <w:jc w:val="both"/>
        <w:rPr>
          <w:rFonts w:eastAsia="CMR10" w:cs="Times New Roman"/>
          <w:i/>
          <w:iCs/>
          <w:color w:val="000000"/>
          <w:sz w:val="22"/>
          <w:szCs w:val="22"/>
          <w:lang w:eastAsia="en-US" w:bidi="en-US"/>
        </w:rPr>
      </w:pPr>
      <w:r>
        <w:rPr>
          <w:rFonts w:cs="Times New Roman"/>
          <w:sz w:val="22"/>
          <w:szCs w:val="22"/>
        </w:rPr>
        <w:t xml:space="preserve">As a common wisdom in panel data analysis, econometric method involves a battery of pre and post diagnostic tests, checking for unit root and co-integration. The results of panel unit root tests, supporting unbalanced panel </w:t>
      </w:r>
      <w:r>
        <w:rPr>
          <w:rFonts w:cs="Times New Roman"/>
          <w:sz w:val="22"/>
          <w:szCs w:val="22"/>
        </w:rPr>
        <w:t xml:space="preserve">data, of Im, Pesaran and Shin (2003); and Maddala and Wu (1999), and Choi (2001), indicate certain variables are stationary in level, while others are stationary in first difference (Table 1). In addition, Westerlund (2007) tests </w:t>
      </w:r>
      <w:r>
        <w:rPr>
          <w:rFonts w:cs="Times New Roman"/>
          <w:sz w:val="22"/>
          <w:szCs w:val="22"/>
        </w:rPr>
        <w:lastRenderedPageBreak/>
        <w:t xml:space="preserve">largely conclude that the </w:t>
      </w:r>
      <w:r>
        <w:rPr>
          <w:rFonts w:cs="Times New Roman"/>
          <w:sz w:val="22"/>
          <w:szCs w:val="22"/>
        </w:rPr>
        <w:t>null hypotheses of no co-integration are rejected for gross domestic product, domestic credit to private sector, and government consumption (Table 2).</w:t>
      </w:r>
    </w:p>
    <w:p w:rsidR="00000000" w:rsidRDefault="00C55CA2">
      <w:pPr>
        <w:widowControl/>
        <w:spacing w:line="200" w:lineRule="atLeast"/>
        <w:ind w:firstLine="283"/>
        <w:jc w:val="both"/>
        <w:rPr>
          <w:rFonts w:eastAsia="CMR10" w:cs="Times New Roman"/>
          <w:i/>
          <w:iCs/>
          <w:color w:val="000000"/>
          <w:sz w:val="22"/>
          <w:szCs w:val="22"/>
          <w:lang w:eastAsia="en-US" w:bidi="en-US"/>
        </w:rPr>
      </w:pPr>
    </w:p>
    <w:p w:rsidR="00000000" w:rsidRDefault="00C55CA2">
      <w:pPr>
        <w:spacing w:after="80" w:line="240" w:lineRule="exact"/>
        <w:rPr>
          <w:rFonts w:cs="Times New Roman"/>
          <w:b/>
          <w:bCs/>
          <w:sz w:val="20"/>
          <w:szCs w:val="20"/>
        </w:rPr>
      </w:pPr>
      <w:r>
        <w:rPr>
          <w:rFonts w:eastAsia="CMR10" w:cs="Times New Roman"/>
          <w:b/>
          <w:bCs/>
          <w:color w:val="000000"/>
          <w:sz w:val="20"/>
          <w:szCs w:val="20"/>
        </w:rPr>
        <w:t>TABLE 1</w:t>
      </w:r>
      <w:r>
        <w:rPr>
          <w:rFonts w:eastAsia="CMR10" w:cs="Times New Roman"/>
          <w:color w:val="000000"/>
          <w:sz w:val="20"/>
          <w:szCs w:val="20"/>
        </w:rPr>
        <w:t xml:space="preserve">: </w:t>
      </w:r>
      <w:r>
        <w:rPr>
          <w:rFonts w:eastAsia="CMR10" w:cs="Times New Roman"/>
          <w:i/>
          <w:iCs/>
          <w:color w:val="000000"/>
          <w:sz w:val="20"/>
          <w:szCs w:val="20"/>
        </w:rPr>
        <w:t>Summary Results of Panel Unit Root Tests</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115"/>
        <w:gridCol w:w="1362"/>
        <w:gridCol w:w="1131"/>
        <w:gridCol w:w="1185"/>
      </w:tblGrid>
      <w:tr w:rsidR="00000000">
        <w:tc>
          <w:tcPr>
            <w:tcW w:w="3115" w:type="dxa"/>
            <w:tcBorders>
              <w:top w:val="single" w:sz="4" w:space="0" w:color="000000"/>
              <w:bottom w:val="single" w:sz="4" w:space="0" w:color="000000"/>
            </w:tcBorders>
            <w:shd w:val="clear" w:color="auto" w:fill="auto"/>
            <w:vAlign w:val="center"/>
          </w:tcPr>
          <w:p w:rsidR="00000000" w:rsidRDefault="00C55CA2">
            <w:pPr>
              <w:pStyle w:val="Contenudetableau"/>
              <w:snapToGrid w:val="0"/>
              <w:spacing w:line="200" w:lineRule="atLeast"/>
              <w:rPr>
                <w:rFonts w:eastAsia="Times New Roman" w:cs="Times New Roman"/>
                <w:b/>
                <w:bCs/>
                <w:sz w:val="20"/>
                <w:szCs w:val="20"/>
                <w:lang w:eastAsia="en-US" w:bidi="en-US"/>
              </w:rPr>
            </w:pPr>
            <w:r>
              <w:rPr>
                <w:rFonts w:cs="Times New Roman"/>
                <w:b/>
                <w:bCs/>
                <w:sz w:val="20"/>
                <w:szCs w:val="20"/>
              </w:rPr>
              <w:t>Variables</w:t>
            </w:r>
          </w:p>
        </w:tc>
        <w:tc>
          <w:tcPr>
            <w:tcW w:w="1362" w:type="dxa"/>
            <w:tcBorders>
              <w:top w:val="single" w:sz="4" w:space="0" w:color="000000"/>
              <w:bottom w:val="single" w:sz="4" w:space="0" w:color="000000"/>
            </w:tcBorders>
            <w:shd w:val="clear" w:color="auto" w:fill="auto"/>
            <w:vAlign w:val="center"/>
          </w:tcPr>
          <w:p w:rsidR="00000000" w:rsidRDefault="00C55CA2">
            <w:pPr>
              <w:pStyle w:val="Contenudetableau"/>
              <w:widowControl/>
              <w:suppressAutoHyphens w:val="0"/>
              <w:spacing w:line="200" w:lineRule="atLeast"/>
              <w:jc w:val="center"/>
              <w:rPr>
                <w:rFonts w:eastAsia="Times New Roman" w:cs="Times New Roman"/>
                <w:b/>
                <w:bCs/>
                <w:sz w:val="20"/>
                <w:szCs w:val="20"/>
                <w:lang w:eastAsia="en-US" w:bidi="en-US"/>
              </w:rPr>
            </w:pPr>
            <w:r>
              <w:rPr>
                <w:rFonts w:eastAsia="Times New Roman" w:cs="Times New Roman"/>
                <w:b/>
                <w:bCs/>
                <w:sz w:val="20"/>
                <w:szCs w:val="20"/>
                <w:lang w:eastAsia="en-US" w:bidi="en-US"/>
              </w:rPr>
              <w:t>Im, Pesaran and Shin</w:t>
            </w:r>
          </w:p>
        </w:tc>
        <w:tc>
          <w:tcPr>
            <w:tcW w:w="1131" w:type="dxa"/>
            <w:tcBorders>
              <w:top w:val="single" w:sz="4" w:space="0" w:color="000000"/>
              <w:bottom w:val="single" w:sz="4" w:space="0" w:color="000000"/>
            </w:tcBorders>
            <w:shd w:val="clear" w:color="auto" w:fill="auto"/>
            <w:vAlign w:val="center"/>
          </w:tcPr>
          <w:p w:rsidR="00000000" w:rsidRDefault="00C55CA2">
            <w:pPr>
              <w:pStyle w:val="Contenudetableau"/>
              <w:widowControl/>
              <w:suppressAutoHyphens w:val="0"/>
              <w:spacing w:line="200" w:lineRule="atLeast"/>
              <w:jc w:val="center"/>
              <w:rPr>
                <w:rFonts w:eastAsia="Times New Roman" w:cs="Times New Roman"/>
                <w:b/>
                <w:bCs/>
                <w:sz w:val="20"/>
                <w:szCs w:val="20"/>
                <w:lang w:eastAsia="en-US" w:bidi="en-US"/>
              </w:rPr>
            </w:pPr>
            <w:r>
              <w:rPr>
                <w:rFonts w:eastAsia="Times New Roman" w:cs="Times New Roman"/>
                <w:b/>
                <w:bCs/>
                <w:sz w:val="20"/>
                <w:szCs w:val="20"/>
                <w:lang w:eastAsia="en-US" w:bidi="en-US"/>
              </w:rPr>
              <w:t>Maddala and Wu</w:t>
            </w:r>
          </w:p>
        </w:tc>
        <w:tc>
          <w:tcPr>
            <w:tcW w:w="1185" w:type="dxa"/>
            <w:tcBorders>
              <w:top w:val="single" w:sz="4" w:space="0" w:color="000000"/>
              <w:bottom w:val="single" w:sz="4" w:space="0" w:color="000000"/>
            </w:tcBorders>
            <w:shd w:val="clear" w:color="auto" w:fill="auto"/>
            <w:vAlign w:val="center"/>
          </w:tcPr>
          <w:p w:rsidR="00000000" w:rsidRDefault="00C55CA2">
            <w:pPr>
              <w:pStyle w:val="Contenudetableau"/>
              <w:widowControl/>
              <w:suppressAutoHyphens w:val="0"/>
              <w:spacing w:line="200" w:lineRule="atLeast"/>
              <w:jc w:val="center"/>
              <w:rPr>
                <w:rFonts w:eastAsia="CMR10" w:cs="Times New Roman"/>
                <w:b/>
                <w:bCs/>
                <w:color w:val="000000"/>
                <w:sz w:val="20"/>
                <w:szCs w:val="20"/>
                <w:lang w:eastAsia="en-US" w:bidi="en-US"/>
              </w:rPr>
            </w:pPr>
            <w:r>
              <w:rPr>
                <w:rFonts w:eastAsia="Times New Roman" w:cs="Times New Roman"/>
                <w:b/>
                <w:bCs/>
                <w:sz w:val="20"/>
                <w:szCs w:val="20"/>
                <w:lang w:eastAsia="en-US" w:bidi="en-US"/>
              </w:rPr>
              <w:t>Order of</w:t>
            </w:r>
            <w:r>
              <w:rPr>
                <w:rFonts w:eastAsia="Times New Roman" w:cs="Times New Roman"/>
                <w:b/>
                <w:bCs/>
                <w:sz w:val="20"/>
                <w:szCs w:val="20"/>
                <w:lang w:eastAsia="en-US" w:bidi="en-US"/>
              </w:rPr>
              <w:t xml:space="preserve"> integration</w:t>
            </w:r>
          </w:p>
        </w:tc>
      </w:tr>
      <w:tr w:rsidR="00000000">
        <w:tc>
          <w:tcPr>
            <w:tcW w:w="3115" w:type="dxa"/>
            <w:shd w:val="clear" w:color="auto" w:fill="auto"/>
          </w:tcPr>
          <w:p w:rsidR="00000000" w:rsidRDefault="00C55CA2">
            <w:pPr>
              <w:widowControl/>
              <w:spacing w:line="200" w:lineRule="atLeast"/>
              <w:rPr>
                <w:rFonts w:cs="Times New Roman"/>
                <w:sz w:val="20"/>
                <w:szCs w:val="20"/>
              </w:rPr>
            </w:pPr>
            <w:r>
              <w:rPr>
                <w:rFonts w:eastAsia="CMR10" w:cs="Times New Roman"/>
                <w:b/>
                <w:bCs/>
                <w:color w:val="000000"/>
                <w:sz w:val="20"/>
                <w:szCs w:val="20"/>
                <w:lang w:eastAsia="en-US" w:bidi="en-US"/>
              </w:rPr>
              <w:t>Ip, first difference with trend</w:t>
            </w:r>
          </w:p>
        </w:tc>
        <w:tc>
          <w:tcPr>
            <w:tcW w:w="1362"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-6.3***</w:t>
            </w:r>
          </w:p>
        </w:tc>
        <w:tc>
          <w:tcPr>
            <w:tcW w:w="1131"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3.0***</w:t>
            </w:r>
          </w:p>
        </w:tc>
        <w:tc>
          <w:tcPr>
            <w:tcW w:w="1185" w:type="dxa"/>
            <w:shd w:val="clear" w:color="auto" w:fill="auto"/>
            <w:vAlign w:val="center"/>
          </w:tcPr>
          <w:p w:rsidR="00000000" w:rsidRDefault="00C55CA2">
            <w:pPr>
              <w:pStyle w:val="Contenudetableau"/>
              <w:snapToGrid w:val="0"/>
              <w:spacing w:line="200" w:lineRule="atLeast"/>
              <w:jc w:val="center"/>
              <w:rPr>
                <w:rFonts w:eastAsia="CMR10" w:cs="Times New Roman"/>
                <w:b/>
                <w:bCs/>
                <w:color w:val="000000"/>
                <w:sz w:val="20"/>
                <w:szCs w:val="20"/>
                <w:lang w:eastAsia="en-US" w:bidi="en-US"/>
              </w:rPr>
            </w:pPr>
            <w:r>
              <w:rPr>
                <w:rFonts w:cs="Times New Roman"/>
                <w:sz w:val="20"/>
                <w:szCs w:val="20"/>
              </w:rPr>
              <w:t>I (1)</w:t>
            </w:r>
          </w:p>
        </w:tc>
      </w:tr>
      <w:tr w:rsidR="00000000">
        <w:tc>
          <w:tcPr>
            <w:tcW w:w="3115" w:type="dxa"/>
            <w:shd w:val="clear" w:color="auto" w:fill="auto"/>
            <w:vAlign w:val="center"/>
          </w:tcPr>
          <w:p w:rsidR="00000000" w:rsidRDefault="00C55CA2">
            <w:pPr>
              <w:widowControl/>
              <w:spacing w:line="200" w:lineRule="atLeast"/>
              <w:rPr>
                <w:rFonts w:cs="Times New Roman"/>
                <w:sz w:val="20"/>
                <w:szCs w:val="20"/>
              </w:rPr>
            </w:pPr>
            <w:r>
              <w:rPr>
                <w:rFonts w:eastAsia="CMR10" w:cs="Times New Roman"/>
                <w:b/>
                <w:bCs/>
                <w:color w:val="000000"/>
                <w:sz w:val="20"/>
                <w:szCs w:val="20"/>
                <w:lang w:eastAsia="en-US" w:bidi="en-US"/>
              </w:rPr>
              <w:t>Ig, first difference with trend</w:t>
            </w:r>
          </w:p>
        </w:tc>
        <w:tc>
          <w:tcPr>
            <w:tcW w:w="1362" w:type="dxa"/>
            <w:shd w:val="clear" w:color="auto" w:fill="auto"/>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-6.1***</w:t>
            </w:r>
          </w:p>
        </w:tc>
        <w:tc>
          <w:tcPr>
            <w:tcW w:w="1131" w:type="dxa"/>
            <w:shd w:val="clear" w:color="auto" w:fill="auto"/>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11.4***</w:t>
            </w:r>
          </w:p>
        </w:tc>
        <w:tc>
          <w:tcPr>
            <w:tcW w:w="1185" w:type="dxa"/>
            <w:shd w:val="clear" w:color="auto" w:fill="auto"/>
          </w:tcPr>
          <w:p w:rsidR="00000000" w:rsidRDefault="00C55CA2">
            <w:pPr>
              <w:pStyle w:val="Contenudetableau"/>
              <w:snapToGrid w:val="0"/>
              <w:spacing w:line="200" w:lineRule="atLeast"/>
              <w:jc w:val="center"/>
              <w:rPr>
                <w:rFonts w:eastAsia="CMR10" w:cs="Times New Roman"/>
                <w:b/>
                <w:bCs/>
                <w:color w:val="000000"/>
                <w:sz w:val="20"/>
                <w:szCs w:val="20"/>
                <w:lang w:eastAsia="en-US" w:bidi="en-US"/>
              </w:rPr>
            </w:pPr>
            <w:r>
              <w:rPr>
                <w:rFonts w:cs="Times New Roman"/>
                <w:sz w:val="20"/>
                <w:szCs w:val="20"/>
              </w:rPr>
              <w:t>I (1)</w:t>
            </w:r>
          </w:p>
        </w:tc>
      </w:tr>
      <w:tr w:rsidR="00000000">
        <w:tc>
          <w:tcPr>
            <w:tcW w:w="3115" w:type="dxa"/>
            <w:shd w:val="clear" w:color="auto" w:fill="auto"/>
          </w:tcPr>
          <w:p w:rsidR="00000000" w:rsidRDefault="00C55CA2">
            <w:pPr>
              <w:widowControl/>
              <w:spacing w:line="200" w:lineRule="atLeast"/>
              <w:rPr>
                <w:rFonts w:cs="Times New Roman"/>
                <w:sz w:val="20"/>
                <w:szCs w:val="20"/>
              </w:rPr>
            </w:pPr>
            <w:r>
              <w:rPr>
                <w:rFonts w:eastAsia="CMR10" w:cs="Times New Roman"/>
                <w:b/>
                <w:bCs/>
                <w:color w:val="000000"/>
                <w:sz w:val="20"/>
                <w:szCs w:val="20"/>
                <w:lang w:eastAsia="en-US" w:bidi="en-US"/>
              </w:rPr>
              <w:t>GDP, first difference with trend</w:t>
            </w:r>
          </w:p>
        </w:tc>
        <w:tc>
          <w:tcPr>
            <w:tcW w:w="1362"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-5.5***</w:t>
            </w:r>
          </w:p>
        </w:tc>
        <w:tc>
          <w:tcPr>
            <w:tcW w:w="1131"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11.9***</w:t>
            </w:r>
          </w:p>
        </w:tc>
        <w:tc>
          <w:tcPr>
            <w:tcW w:w="1185" w:type="dxa"/>
            <w:shd w:val="clear" w:color="auto" w:fill="auto"/>
            <w:vAlign w:val="center"/>
          </w:tcPr>
          <w:p w:rsidR="00000000" w:rsidRDefault="00C55CA2">
            <w:pPr>
              <w:pStyle w:val="Contenudetableau"/>
              <w:snapToGrid w:val="0"/>
              <w:spacing w:line="200" w:lineRule="atLeast"/>
              <w:jc w:val="center"/>
              <w:rPr>
                <w:rFonts w:eastAsia="CMR10" w:cs="Times New Roman"/>
                <w:b/>
                <w:bCs/>
                <w:color w:val="000000"/>
                <w:sz w:val="20"/>
                <w:szCs w:val="20"/>
                <w:lang w:eastAsia="en-US" w:bidi="en-US"/>
              </w:rPr>
            </w:pPr>
            <w:r>
              <w:rPr>
                <w:rFonts w:cs="Times New Roman"/>
                <w:sz w:val="20"/>
                <w:szCs w:val="20"/>
              </w:rPr>
              <w:t>I (1)</w:t>
            </w:r>
          </w:p>
        </w:tc>
      </w:tr>
      <w:tr w:rsidR="00000000">
        <w:tc>
          <w:tcPr>
            <w:tcW w:w="3115" w:type="dxa"/>
            <w:shd w:val="clear" w:color="auto" w:fill="auto"/>
          </w:tcPr>
          <w:p w:rsidR="00000000" w:rsidRDefault="00C55CA2">
            <w:pPr>
              <w:widowControl/>
              <w:spacing w:line="200" w:lineRule="atLeast"/>
              <w:rPr>
                <w:rFonts w:cs="Times New Roman"/>
                <w:sz w:val="20"/>
                <w:szCs w:val="20"/>
              </w:rPr>
            </w:pPr>
            <w:r>
              <w:rPr>
                <w:rFonts w:eastAsia="CMR10" w:cs="Times New Roman"/>
                <w:b/>
                <w:bCs/>
                <w:color w:val="000000"/>
                <w:sz w:val="20"/>
                <w:szCs w:val="20"/>
                <w:lang w:eastAsia="en-US" w:bidi="en-US"/>
              </w:rPr>
              <w:t>CRED, first difference with trend</w:t>
            </w:r>
          </w:p>
        </w:tc>
        <w:tc>
          <w:tcPr>
            <w:tcW w:w="1362"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-5.9***</w:t>
            </w:r>
          </w:p>
        </w:tc>
        <w:tc>
          <w:tcPr>
            <w:tcW w:w="1131"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6.0***</w:t>
            </w:r>
          </w:p>
        </w:tc>
        <w:tc>
          <w:tcPr>
            <w:tcW w:w="1185" w:type="dxa"/>
            <w:shd w:val="clear" w:color="auto" w:fill="auto"/>
            <w:vAlign w:val="center"/>
          </w:tcPr>
          <w:p w:rsidR="00000000" w:rsidRDefault="00C55CA2">
            <w:pPr>
              <w:pStyle w:val="Contenudetableau"/>
              <w:snapToGrid w:val="0"/>
              <w:spacing w:line="200" w:lineRule="atLeast"/>
              <w:jc w:val="center"/>
              <w:rPr>
                <w:rFonts w:eastAsia="CMR10" w:cs="Times New Roman"/>
                <w:b/>
                <w:bCs/>
                <w:color w:val="000000"/>
                <w:sz w:val="20"/>
                <w:szCs w:val="20"/>
                <w:lang w:eastAsia="en-US" w:bidi="en-US"/>
              </w:rPr>
            </w:pPr>
            <w:r>
              <w:rPr>
                <w:rFonts w:cs="Times New Roman"/>
                <w:sz w:val="20"/>
                <w:szCs w:val="20"/>
              </w:rPr>
              <w:t>I (1)</w:t>
            </w:r>
          </w:p>
        </w:tc>
      </w:tr>
      <w:tr w:rsidR="00000000">
        <w:tc>
          <w:tcPr>
            <w:tcW w:w="3115" w:type="dxa"/>
            <w:shd w:val="clear" w:color="auto" w:fill="auto"/>
          </w:tcPr>
          <w:p w:rsidR="00000000" w:rsidRDefault="00C55CA2">
            <w:pPr>
              <w:widowControl/>
              <w:spacing w:line="200" w:lineRule="atLeast"/>
              <w:rPr>
                <w:rFonts w:cs="Times New Roman"/>
                <w:sz w:val="20"/>
                <w:szCs w:val="20"/>
              </w:rPr>
            </w:pPr>
            <w:r>
              <w:rPr>
                <w:rFonts w:eastAsia="CMR10" w:cs="Times New Roman"/>
                <w:b/>
                <w:bCs/>
                <w:color w:val="000000"/>
                <w:sz w:val="20"/>
                <w:szCs w:val="20"/>
                <w:lang w:eastAsia="en-US" w:bidi="en-US"/>
              </w:rPr>
              <w:t>GOUV, with trend</w:t>
            </w:r>
          </w:p>
        </w:tc>
        <w:tc>
          <w:tcPr>
            <w:tcW w:w="1362"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-3.9</w:t>
            </w:r>
            <w:r>
              <w:rPr>
                <w:rFonts w:cs="Times New Roman"/>
                <w:sz w:val="20"/>
                <w:szCs w:val="20"/>
              </w:rPr>
              <w:t>***</w:t>
            </w:r>
          </w:p>
        </w:tc>
        <w:tc>
          <w:tcPr>
            <w:tcW w:w="1131"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3.7***</w:t>
            </w:r>
          </w:p>
        </w:tc>
        <w:tc>
          <w:tcPr>
            <w:tcW w:w="1185" w:type="dxa"/>
            <w:shd w:val="clear" w:color="auto" w:fill="auto"/>
            <w:vAlign w:val="center"/>
          </w:tcPr>
          <w:p w:rsidR="00000000" w:rsidRDefault="00C55CA2">
            <w:pPr>
              <w:pStyle w:val="Contenudetableau"/>
              <w:snapToGrid w:val="0"/>
              <w:spacing w:line="200" w:lineRule="atLeast"/>
              <w:jc w:val="center"/>
              <w:rPr>
                <w:rFonts w:eastAsia="CMR10" w:cs="Times New Roman"/>
                <w:b/>
                <w:bCs/>
                <w:color w:val="000000"/>
                <w:sz w:val="20"/>
                <w:szCs w:val="20"/>
                <w:lang w:eastAsia="en-US" w:bidi="en-US"/>
              </w:rPr>
            </w:pPr>
            <w:r>
              <w:rPr>
                <w:rFonts w:cs="Times New Roman"/>
                <w:sz w:val="20"/>
                <w:szCs w:val="20"/>
              </w:rPr>
              <w:t>I (0)</w:t>
            </w:r>
          </w:p>
        </w:tc>
      </w:tr>
      <w:tr w:rsidR="00000000">
        <w:tc>
          <w:tcPr>
            <w:tcW w:w="3115" w:type="dxa"/>
            <w:shd w:val="clear" w:color="auto" w:fill="auto"/>
          </w:tcPr>
          <w:p w:rsidR="00000000" w:rsidRDefault="00C55CA2">
            <w:pPr>
              <w:widowControl/>
              <w:spacing w:line="200" w:lineRule="atLeast"/>
              <w:rPr>
                <w:rFonts w:cs="Times New Roman"/>
                <w:sz w:val="20"/>
                <w:szCs w:val="20"/>
              </w:rPr>
            </w:pPr>
            <w:r>
              <w:rPr>
                <w:rFonts w:eastAsia="CMR10" w:cs="Times New Roman"/>
                <w:b/>
                <w:bCs/>
                <w:color w:val="000000"/>
                <w:sz w:val="20"/>
                <w:szCs w:val="20"/>
                <w:lang w:eastAsia="en-US" w:bidi="en-US"/>
              </w:rPr>
              <w:t>GapGDP, level</w:t>
            </w:r>
          </w:p>
        </w:tc>
        <w:tc>
          <w:tcPr>
            <w:tcW w:w="1362"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-5.6***</w:t>
            </w:r>
          </w:p>
        </w:tc>
        <w:tc>
          <w:tcPr>
            <w:tcW w:w="1131"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13.6***</w:t>
            </w:r>
          </w:p>
        </w:tc>
        <w:tc>
          <w:tcPr>
            <w:tcW w:w="1185" w:type="dxa"/>
            <w:shd w:val="clear" w:color="auto" w:fill="auto"/>
            <w:vAlign w:val="center"/>
          </w:tcPr>
          <w:p w:rsidR="00000000" w:rsidRDefault="00C55CA2">
            <w:pPr>
              <w:pStyle w:val="Contenudetableau"/>
              <w:snapToGrid w:val="0"/>
              <w:spacing w:line="200" w:lineRule="atLeast"/>
              <w:jc w:val="center"/>
              <w:rPr>
                <w:rFonts w:eastAsia="CMR10" w:cs="Times New Roman"/>
                <w:b/>
                <w:bCs/>
                <w:color w:val="000000"/>
                <w:sz w:val="20"/>
                <w:szCs w:val="20"/>
                <w:lang w:eastAsia="en-US" w:bidi="en-US"/>
              </w:rPr>
            </w:pPr>
            <w:r>
              <w:rPr>
                <w:rFonts w:cs="Times New Roman"/>
                <w:sz w:val="20"/>
                <w:szCs w:val="20"/>
              </w:rPr>
              <w:t>I (0)</w:t>
            </w:r>
          </w:p>
        </w:tc>
      </w:tr>
      <w:tr w:rsidR="00000000">
        <w:tc>
          <w:tcPr>
            <w:tcW w:w="3115" w:type="dxa"/>
            <w:shd w:val="clear" w:color="auto" w:fill="auto"/>
          </w:tcPr>
          <w:p w:rsidR="00000000" w:rsidRDefault="00C55CA2">
            <w:pPr>
              <w:widowControl/>
              <w:spacing w:line="200" w:lineRule="atLeast"/>
              <w:rPr>
                <w:rFonts w:cs="Times New Roman"/>
                <w:sz w:val="20"/>
                <w:szCs w:val="20"/>
              </w:rPr>
            </w:pPr>
            <w:r>
              <w:rPr>
                <w:rFonts w:eastAsia="CMR10" w:cs="Times New Roman"/>
                <w:b/>
                <w:bCs/>
                <w:color w:val="000000"/>
                <w:sz w:val="20"/>
                <w:szCs w:val="20"/>
                <w:lang w:eastAsia="en-US" w:bidi="en-US"/>
              </w:rPr>
              <w:t>INFL, level</w:t>
            </w:r>
          </w:p>
        </w:tc>
        <w:tc>
          <w:tcPr>
            <w:tcW w:w="1362"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-6.8***</w:t>
            </w:r>
          </w:p>
        </w:tc>
        <w:tc>
          <w:tcPr>
            <w:tcW w:w="1131"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18.5***</w:t>
            </w:r>
          </w:p>
        </w:tc>
        <w:tc>
          <w:tcPr>
            <w:tcW w:w="1185" w:type="dxa"/>
            <w:shd w:val="clear" w:color="auto" w:fill="auto"/>
            <w:vAlign w:val="center"/>
          </w:tcPr>
          <w:p w:rsidR="00000000" w:rsidRDefault="00C55CA2">
            <w:pPr>
              <w:pStyle w:val="Contenudetableau"/>
              <w:snapToGrid w:val="0"/>
              <w:spacing w:line="200" w:lineRule="atLeast"/>
              <w:jc w:val="center"/>
              <w:rPr>
                <w:rFonts w:eastAsia="CMR10" w:cs="Times New Roman"/>
                <w:b/>
                <w:bCs/>
                <w:color w:val="000000"/>
                <w:sz w:val="20"/>
                <w:szCs w:val="20"/>
                <w:lang w:eastAsia="en-US" w:bidi="en-US"/>
              </w:rPr>
            </w:pPr>
            <w:r>
              <w:rPr>
                <w:rFonts w:cs="Times New Roman"/>
                <w:sz w:val="20"/>
                <w:szCs w:val="20"/>
              </w:rPr>
              <w:t>I (0)</w:t>
            </w:r>
          </w:p>
        </w:tc>
      </w:tr>
      <w:tr w:rsidR="00000000">
        <w:tc>
          <w:tcPr>
            <w:tcW w:w="3115" w:type="dxa"/>
            <w:shd w:val="clear" w:color="auto" w:fill="auto"/>
          </w:tcPr>
          <w:p w:rsidR="00000000" w:rsidRDefault="00C55CA2">
            <w:pPr>
              <w:widowControl/>
              <w:suppressAutoHyphens w:val="0"/>
              <w:spacing w:line="200" w:lineRule="atLeast"/>
              <w:rPr>
                <w:rFonts w:cs="Times New Roman"/>
                <w:sz w:val="20"/>
                <w:szCs w:val="20"/>
              </w:rPr>
            </w:pPr>
            <w:r>
              <w:rPr>
                <w:rFonts w:eastAsia="CMR10" w:cs="Times New Roman"/>
                <w:b/>
                <w:bCs/>
                <w:color w:val="000000"/>
                <w:sz w:val="20"/>
                <w:szCs w:val="20"/>
                <w:lang w:eastAsia="en-US" w:bidi="en-US"/>
              </w:rPr>
              <w:t>TOT, level</w:t>
            </w:r>
          </w:p>
        </w:tc>
        <w:tc>
          <w:tcPr>
            <w:tcW w:w="1362"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-5.5***</w:t>
            </w:r>
          </w:p>
        </w:tc>
        <w:tc>
          <w:tcPr>
            <w:tcW w:w="1131"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11.4***</w:t>
            </w:r>
          </w:p>
        </w:tc>
        <w:tc>
          <w:tcPr>
            <w:tcW w:w="1185" w:type="dxa"/>
            <w:shd w:val="clear" w:color="auto" w:fill="auto"/>
            <w:vAlign w:val="center"/>
          </w:tcPr>
          <w:p w:rsidR="00000000" w:rsidRDefault="00C55CA2">
            <w:pPr>
              <w:pStyle w:val="Contenudetableau"/>
              <w:snapToGrid w:val="0"/>
              <w:spacing w:line="200" w:lineRule="atLeast"/>
              <w:jc w:val="center"/>
              <w:rPr>
                <w:rFonts w:eastAsia="Garamond" w:cs="Times New Roman"/>
                <w:b/>
                <w:bCs/>
                <w:color w:val="000000"/>
                <w:sz w:val="20"/>
                <w:szCs w:val="20"/>
                <w:lang w:eastAsia="en-US" w:bidi="en-US"/>
              </w:rPr>
            </w:pPr>
            <w:r>
              <w:rPr>
                <w:rFonts w:cs="Times New Roman"/>
                <w:sz w:val="20"/>
                <w:szCs w:val="20"/>
              </w:rPr>
              <w:t>I (0)</w:t>
            </w:r>
          </w:p>
        </w:tc>
      </w:tr>
      <w:tr w:rsidR="00000000">
        <w:tc>
          <w:tcPr>
            <w:tcW w:w="3115" w:type="dxa"/>
            <w:shd w:val="clear" w:color="auto" w:fill="auto"/>
          </w:tcPr>
          <w:p w:rsidR="00000000" w:rsidRDefault="00C55CA2">
            <w:pPr>
              <w:widowControl/>
              <w:suppressAutoHyphens w:val="0"/>
              <w:spacing w:line="200" w:lineRule="atLeast"/>
              <w:rPr>
                <w:rFonts w:cs="Times New Roman"/>
                <w:sz w:val="20"/>
                <w:szCs w:val="20"/>
              </w:rPr>
            </w:pPr>
            <w:r>
              <w:rPr>
                <w:rFonts w:eastAsia="Garamond" w:cs="Times New Roman"/>
                <w:b/>
                <w:bCs/>
                <w:color w:val="000000"/>
                <w:sz w:val="20"/>
                <w:szCs w:val="20"/>
                <w:lang w:eastAsia="en-US" w:bidi="en-US"/>
              </w:rPr>
              <w:t xml:space="preserve">OUV, </w:t>
            </w:r>
            <w:r>
              <w:rPr>
                <w:rFonts w:eastAsia="CMR10" w:cs="Times New Roman"/>
                <w:b/>
                <w:bCs/>
                <w:color w:val="000000"/>
                <w:sz w:val="20"/>
                <w:szCs w:val="20"/>
                <w:lang w:eastAsia="en-US" w:bidi="en-US"/>
              </w:rPr>
              <w:t>first difference with trend</w:t>
            </w:r>
          </w:p>
        </w:tc>
        <w:tc>
          <w:tcPr>
            <w:tcW w:w="1362"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-5.1***</w:t>
            </w:r>
          </w:p>
        </w:tc>
        <w:tc>
          <w:tcPr>
            <w:tcW w:w="1131"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1.3*</w:t>
            </w:r>
          </w:p>
        </w:tc>
        <w:tc>
          <w:tcPr>
            <w:tcW w:w="1185" w:type="dxa"/>
            <w:shd w:val="clear" w:color="auto" w:fill="auto"/>
            <w:vAlign w:val="center"/>
          </w:tcPr>
          <w:p w:rsidR="00000000" w:rsidRDefault="00C55CA2">
            <w:pPr>
              <w:pStyle w:val="Contenudetableau"/>
              <w:snapToGrid w:val="0"/>
              <w:spacing w:line="200" w:lineRule="atLeast"/>
              <w:jc w:val="center"/>
              <w:rPr>
                <w:rFonts w:eastAsia="Garamond" w:cs="Times New Roman"/>
                <w:b/>
                <w:bCs/>
                <w:color w:val="000000"/>
                <w:sz w:val="20"/>
                <w:szCs w:val="20"/>
                <w:lang w:eastAsia="en-US" w:bidi="en-US"/>
              </w:rPr>
            </w:pPr>
            <w:r>
              <w:rPr>
                <w:rFonts w:cs="Times New Roman"/>
                <w:sz w:val="20"/>
                <w:szCs w:val="20"/>
              </w:rPr>
              <w:t>I (1)</w:t>
            </w:r>
          </w:p>
        </w:tc>
      </w:tr>
      <w:tr w:rsidR="00000000">
        <w:tc>
          <w:tcPr>
            <w:tcW w:w="3115" w:type="dxa"/>
            <w:shd w:val="clear" w:color="auto" w:fill="auto"/>
          </w:tcPr>
          <w:p w:rsidR="00000000" w:rsidRDefault="00C55CA2">
            <w:pPr>
              <w:widowControl/>
              <w:suppressAutoHyphens w:val="0"/>
              <w:spacing w:line="200" w:lineRule="atLeast"/>
              <w:rPr>
                <w:rFonts w:cs="Times New Roman"/>
                <w:sz w:val="20"/>
                <w:szCs w:val="20"/>
              </w:rPr>
            </w:pPr>
            <w:r>
              <w:rPr>
                <w:rFonts w:eastAsia="Garamond" w:cs="Times New Roman"/>
                <w:b/>
                <w:bCs/>
                <w:color w:val="000000"/>
                <w:sz w:val="20"/>
                <w:szCs w:val="20"/>
                <w:lang w:eastAsia="en-US" w:bidi="en-US"/>
              </w:rPr>
              <w:t>POLS, fisrt diference</w:t>
            </w:r>
          </w:p>
        </w:tc>
        <w:tc>
          <w:tcPr>
            <w:tcW w:w="1362"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-4.3***</w:t>
            </w:r>
          </w:p>
        </w:tc>
        <w:tc>
          <w:tcPr>
            <w:tcW w:w="1131"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16.8***</w:t>
            </w:r>
          </w:p>
        </w:tc>
        <w:tc>
          <w:tcPr>
            <w:tcW w:w="1185" w:type="dxa"/>
            <w:shd w:val="clear" w:color="auto" w:fill="auto"/>
            <w:vAlign w:val="center"/>
          </w:tcPr>
          <w:p w:rsidR="00000000" w:rsidRDefault="00C55CA2">
            <w:pPr>
              <w:pStyle w:val="Contenudetableau"/>
              <w:snapToGrid w:val="0"/>
              <w:spacing w:line="200" w:lineRule="atLeast"/>
              <w:jc w:val="center"/>
              <w:rPr>
                <w:rFonts w:eastAsia="CMR10" w:cs="Times New Roman"/>
                <w:b/>
                <w:bCs/>
                <w:color w:val="000000"/>
                <w:sz w:val="20"/>
                <w:szCs w:val="20"/>
                <w:lang w:eastAsia="en-US" w:bidi="en-US"/>
              </w:rPr>
            </w:pPr>
            <w:r>
              <w:rPr>
                <w:rFonts w:cs="Times New Roman"/>
                <w:sz w:val="20"/>
                <w:szCs w:val="20"/>
              </w:rPr>
              <w:t>I (1)</w:t>
            </w:r>
          </w:p>
        </w:tc>
      </w:tr>
      <w:tr w:rsidR="00000000">
        <w:tc>
          <w:tcPr>
            <w:tcW w:w="3115" w:type="dxa"/>
            <w:tcBorders>
              <w:bottom w:val="single" w:sz="4" w:space="0" w:color="000000"/>
            </w:tcBorders>
            <w:shd w:val="clear" w:color="auto" w:fill="auto"/>
          </w:tcPr>
          <w:p w:rsidR="00000000" w:rsidRDefault="00C55CA2">
            <w:pPr>
              <w:widowControl/>
              <w:suppressAutoHyphens w:val="0"/>
              <w:snapToGrid w:val="0"/>
              <w:spacing w:line="200" w:lineRule="atLeast"/>
              <w:rPr>
                <w:rFonts w:cs="Times New Roman"/>
                <w:sz w:val="20"/>
                <w:szCs w:val="20"/>
              </w:rPr>
            </w:pPr>
            <w:r>
              <w:rPr>
                <w:rFonts w:eastAsia="CMR10" w:cs="Times New Roman"/>
                <w:b/>
                <w:bCs/>
                <w:color w:val="000000"/>
                <w:sz w:val="20"/>
                <w:szCs w:val="20"/>
                <w:lang w:eastAsia="en-US" w:bidi="en-US"/>
              </w:rPr>
              <w:t>R</w:t>
            </w:r>
            <w:r>
              <w:rPr>
                <w:rFonts w:eastAsia="Times New Roman" w:cs="Times New Roman"/>
                <w:b/>
                <w:bCs/>
                <w:sz w:val="20"/>
                <w:szCs w:val="20"/>
                <w:lang w:eastAsia="en-US" w:bidi="en-US"/>
              </w:rPr>
              <w:t>, level</w:t>
            </w:r>
          </w:p>
        </w:tc>
        <w:tc>
          <w:tcPr>
            <w:tcW w:w="1362" w:type="dxa"/>
            <w:tcBorders>
              <w:bottom w:val="single" w:sz="4" w:space="0" w:color="000000"/>
            </w:tcBorders>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-4.6***</w:t>
            </w:r>
          </w:p>
        </w:tc>
        <w:tc>
          <w:tcPr>
            <w:tcW w:w="1131" w:type="dxa"/>
            <w:tcBorders>
              <w:bottom w:val="single" w:sz="4" w:space="0" w:color="000000"/>
            </w:tcBorders>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3.8***</w:t>
            </w:r>
          </w:p>
        </w:tc>
        <w:tc>
          <w:tcPr>
            <w:tcW w:w="1185" w:type="dxa"/>
            <w:tcBorders>
              <w:bottom w:val="single" w:sz="4" w:space="0" w:color="000000"/>
            </w:tcBorders>
            <w:shd w:val="clear" w:color="auto" w:fill="auto"/>
            <w:vAlign w:val="center"/>
          </w:tcPr>
          <w:p w:rsidR="00000000" w:rsidRDefault="00C55CA2">
            <w:pPr>
              <w:pStyle w:val="Contenudetableau"/>
              <w:snapToGrid w:val="0"/>
              <w:spacing w:line="200" w:lineRule="atLeast"/>
              <w:jc w:val="center"/>
              <w:rPr>
                <w:rFonts w:eastAsia="CMR10" w:cs="Times New Roman"/>
                <w:b/>
                <w:bCs/>
                <w:color w:val="000000"/>
                <w:sz w:val="20"/>
                <w:szCs w:val="20"/>
              </w:rPr>
            </w:pPr>
            <w:r>
              <w:rPr>
                <w:rFonts w:cs="Times New Roman"/>
                <w:sz w:val="20"/>
                <w:szCs w:val="20"/>
              </w:rPr>
              <w:t>I (0)</w:t>
            </w:r>
          </w:p>
        </w:tc>
      </w:tr>
    </w:tbl>
    <w:p w:rsidR="00000000" w:rsidRDefault="00C55CA2">
      <w:pPr>
        <w:widowControl/>
        <w:spacing w:after="57" w:line="200" w:lineRule="atLeast"/>
        <w:jc w:val="both"/>
        <w:rPr>
          <w:rFonts w:eastAsia="CMR10" w:cs="Times New Roman"/>
          <w:i/>
          <w:iCs/>
          <w:color w:val="000000"/>
          <w:sz w:val="22"/>
          <w:szCs w:val="22"/>
          <w:lang w:eastAsia="en-US" w:bidi="en-US"/>
        </w:rPr>
      </w:pPr>
      <w:r>
        <w:rPr>
          <w:rFonts w:eastAsia="CMR10" w:cs="Times New Roman"/>
          <w:b/>
          <w:bCs/>
          <w:color w:val="000000"/>
          <w:sz w:val="20"/>
          <w:szCs w:val="20"/>
        </w:rPr>
        <w:t>Sou</w:t>
      </w:r>
      <w:r>
        <w:rPr>
          <w:rFonts w:eastAsia="CMR10" w:cs="Times New Roman"/>
          <w:b/>
          <w:bCs/>
          <w:color w:val="000000"/>
          <w:sz w:val="20"/>
          <w:szCs w:val="20"/>
        </w:rPr>
        <w:t>rce</w:t>
      </w:r>
      <w:r>
        <w:rPr>
          <w:rFonts w:eastAsia="CMR10" w:cs="Times New Roman"/>
          <w:color w:val="000000"/>
          <w:sz w:val="20"/>
          <w:szCs w:val="20"/>
        </w:rPr>
        <w:t>:</w:t>
      </w:r>
      <w:r>
        <w:rPr>
          <w:rFonts w:eastAsia="CMR10" w:cs="Times New Roman"/>
          <w:color w:val="000000"/>
          <w:sz w:val="20"/>
          <w:szCs w:val="20"/>
        </w:rPr>
        <w:t xml:space="preserve"> </w:t>
      </w:r>
      <w:r>
        <w:rPr>
          <w:rFonts w:eastAsia="CMR10" w:cs="Times New Roman"/>
          <w:color w:val="000000"/>
          <w:sz w:val="20"/>
          <w:szCs w:val="20"/>
          <w:lang w:eastAsia="en-US" w:bidi="en-US"/>
        </w:rPr>
        <w:t>Author</w:t>
      </w:r>
      <w:r>
        <w:rPr>
          <w:rFonts w:eastAsia="CMR10" w:cs="Times New Roman"/>
          <w:color w:val="000000"/>
          <w:sz w:val="20"/>
          <w:szCs w:val="20"/>
          <w:lang w:eastAsia="en-US" w:bidi="en-US"/>
        </w:rPr>
        <w:t xml:space="preserve">, </w:t>
      </w:r>
      <w:r>
        <w:rPr>
          <w:rFonts w:eastAsia="CMR10" w:cs="Times New Roman"/>
          <w:color w:val="000000"/>
          <w:sz w:val="20"/>
          <w:szCs w:val="20"/>
        </w:rPr>
        <w:t>***, **, and * indicate that the statistic is statistically significant at the 1%, 5%, and 10% levels, respectively. The null hypothesis of stationarity tests are = Non stationarity</w:t>
      </w:r>
    </w:p>
    <w:p w:rsidR="00000000" w:rsidRDefault="00C55CA2">
      <w:pPr>
        <w:widowControl/>
        <w:spacing w:line="200" w:lineRule="atLeast"/>
        <w:ind w:firstLine="283"/>
        <w:jc w:val="both"/>
        <w:rPr>
          <w:rFonts w:eastAsia="CMR10" w:cs="Times New Roman"/>
          <w:i/>
          <w:iCs/>
          <w:color w:val="000000"/>
          <w:sz w:val="22"/>
          <w:szCs w:val="22"/>
          <w:lang w:eastAsia="en-US" w:bidi="en-US"/>
        </w:rPr>
      </w:pPr>
    </w:p>
    <w:p w:rsidR="00000000" w:rsidRDefault="00C55CA2">
      <w:pPr>
        <w:spacing w:before="170" w:after="57" w:line="200" w:lineRule="atLeast"/>
        <w:rPr>
          <w:rFonts w:cs="Times New Roman"/>
          <w:b/>
          <w:bCs/>
          <w:sz w:val="20"/>
          <w:szCs w:val="20"/>
        </w:rPr>
      </w:pPr>
      <w:r>
        <w:rPr>
          <w:rFonts w:eastAsia="CMR10" w:cs="Times New Roman"/>
          <w:b/>
          <w:bCs/>
          <w:color w:val="000000"/>
          <w:sz w:val="20"/>
          <w:szCs w:val="20"/>
        </w:rPr>
        <w:t>TABLE 2</w:t>
      </w:r>
      <w:r>
        <w:rPr>
          <w:rFonts w:eastAsia="CMR10" w:cs="Times New Roman"/>
          <w:color w:val="000000"/>
          <w:sz w:val="20"/>
          <w:szCs w:val="20"/>
        </w:rPr>
        <w:t xml:space="preserve">: </w:t>
      </w:r>
      <w:r>
        <w:rPr>
          <w:rFonts w:eastAsia="CMR10" w:cs="Times New Roman"/>
          <w:i/>
          <w:iCs/>
          <w:color w:val="000000"/>
          <w:sz w:val="20"/>
          <w:szCs w:val="20"/>
        </w:rPr>
        <w:t>Westerlund Error Correction Based Panel Co-integrat</w:t>
      </w:r>
      <w:r>
        <w:rPr>
          <w:rFonts w:eastAsia="CMR10" w:cs="Times New Roman"/>
          <w:i/>
          <w:iCs/>
          <w:color w:val="000000"/>
          <w:sz w:val="20"/>
          <w:szCs w:val="20"/>
        </w:rPr>
        <w:t>ion Tests</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569"/>
        <w:gridCol w:w="1085"/>
        <w:gridCol w:w="1096"/>
        <w:gridCol w:w="796"/>
        <w:gridCol w:w="889"/>
        <w:gridCol w:w="1358"/>
      </w:tblGrid>
      <w:tr w:rsidR="00000000">
        <w:trPr>
          <w:tblHeader/>
        </w:trPr>
        <w:tc>
          <w:tcPr>
            <w:tcW w:w="1569" w:type="dxa"/>
            <w:vMerge w:val="restart"/>
            <w:tcBorders>
              <w:top w:val="single" w:sz="4" w:space="0" w:color="000000"/>
              <w:bottom w:val="single" w:sz="4" w:space="0" w:color="000000"/>
            </w:tcBorders>
            <w:shd w:val="clear" w:color="auto" w:fill="auto"/>
            <w:vAlign w:val="center"/>
          </w:tcPr>
          <w:p w:rsidR="00000000" w:rsidRDefault="00C55CA2">
            <w:pPr>
              <w:pStyle w:val="Contenudetableau"/>
              <w:spacing w:line="200" w:lineRule="atLeast"/>
              <w:rPr>
                <w:rFonts w:cs="Times New Roman"/>
                <w:b/>
                <w:bCs/>
                <w:sz w:val="20"/>
                <w:szCs w:val="20"/>
              </w:rPr>
            </w:pPr>
            <w:r>
              <w:rPr>
                <w:rFonts w:cs="Times New Roman"/>
                <w:b/>
                <w:bCs/>
                <w:sz w:val="20"/>
                <w:szCs w:val="20"/>
              </w:rPr>
              <w:t>Variables</w:t>
            </w:r>
          </w:p>
        </w:tc>
        <w:tc>
          <w:tcPr>
            <w:tcW w:w="5224" w:type="dxa"/>
            <w:gridSpan w:val="5"/>
            <w:tcBorders>
              <w:top w:val="single" w:sz="4" w:space="0" w:color="000000"/>
              <w:bottom w:val="single" w:sz="4" w:space="0" w:color="000000"/>
            </w:tcBorders>
            <w:shd w:val="clear" w:color="auto" w:fill="auto"/>
            <w:vAlign w:val="bottom"/>
          </w:tcPr>
          <w:p w:rsidR="00000000" w:rsidRDefault="00C55CA2">
            <w:pPr>
              <w:pStyle w:val="Contenudetableau"/>
              <w:spacing w:line="200" w:lineRule="atLeast"/>
              <w:jc w:val="center"/>
              <w:rPr>
                <w:rFonts w:cs="Times New Roman"/>
                <w:b/>
                <w:bCs/>
                <w:sz w:val="20"/>
                <w:szCs w:val="20"/>
              </w:rPr>
            </w:pPr>
            <w:r>
              <w:rPr>
                <w:rFonts w:cs="Times New Roman"/>
                <w:b/>
                <w:bCs/>
                <w:sz w:val="20"/>
                <w:szCs w:val="20"/>
              </w:rPr>
              <w:t>Private Investment, Ip</w:t>
            </w:r>
          </w:p>
        </w:tc>
      </w:tr>
      <w:tr w:rsidR="00000000">
        <w:trPr>
          <w:tblHeader/>
        </w:trPr>
        <w:tc>
          <w:tcPr>
            <w:tcW w:w="1569" w:type="dxa"/>
            <w:vMerge/>
            <w:tcBorders>
              <w:top w:val="single" w:sz="4" w:space="0" w:color="000000"/>
              <w:bottom w:val="single" w:sz="4" w:space="0" w:color="000000"/>
            </w:tcBorders>
            <w:shd w:val="clear" w:color="auto" w:fill="auto"/>
            <w:vAlign w:val="center"/>
          </w:tcPr>
          <w:p w:rsidR="00000000" w:rsidRDefault="00C55CA2">
            <w:pPr>
              <w:snapToGrid w:val="0"/>
              <w:spacing w:line="200" w:lineRule="atLeast"/>
              <w:rPr>
                <w:rFonts w:cs="Times New Roman"/>
                <w:b/>
                <w:bCs/>
                <w:sz w:val="20"/>
                <w:szCs w:val="20"/>
              </w:rPr>
            </w:pPr>
          </w:p>
        </w:tc>
        <w:tc>
          <w:tcPr>
            <w:tcW w:w="1085" w:type="dxa"/>
            <w:tcBorders>
              <w:bottom w:val="single" w:sz="4" w:space="0" w:color="000000"/>
            </w:tcBorders>
            <w:shd w:val="clear" w:color="auto" w:fill="auto"/>
            <w:vAlign w:val="center"/>
          </w:tcPr>
          <w:p w:rsidR="00000000" w:rsidRDefault="00C55CA2">
            <w:pPr>
              <w:pStyle w:val="Contenudetableau"/>
              <w:spacing w:line="200" w:lineRule="atLeast"/>
              <w:jc w:val="center"/>
              <w:rPr>
                <w:rFonts w:eastAsia="Times New Roman" w:cs="Times New Roman"/>
                <w:b/>
                <w:bCs/>
                <w:sz w:val="20"/>
                <w:szCs w:val="20"/>
                <w:lang w:eastAsia="en-US" w:bidi="en-US"/>
              </w:rPr>
            </w:pPr>
            <w:r>
              <w:rPr>
                <w:rFonts w:cs="Times New Roman"/>
                <w:b/>
                <w:bCs/>
                <w:sz w:val="20"/>
                <w:szCs w:val="20"/>
              </w:rPr>
              <w:t>Gt</w:t>
            </w:r>
          </w:p>
        </w:tc>
        <w:tc>
          <w:tcPr>
            <w:tcW w:w="1096" w:type="dxa"/>
            <w:tcBorders>
              <w:bottom w:val="single" w:sz="4" w:space="0" w:color="000000"/>
            </w:tcBorders>
            <w:shd w:val="clear" w:color="auto" w:fill="auto"/>
            <w:vAlign w:val="center"/>
          </w:tcPr>
          <w:p w:rsidR="00000000" w:rsidRDefault="00C55CA2">
            <w:pPr>
              <w:pStyle w:val="Contenudetableau"/>
              <w:widowControl/>
              <w:suppressAutoHyphens w:val="0"/>
              <w:spacing w:line="200" w:lineRule="atLeast"/>
              <w:jc w:val="center"/>
              <w:rPr>
                <w:rFonts w:eastAsia="Times New Roman" w:cs="Times New Roman"/>
                <w:b/>
                <w:bCs/>
                <w:sz w:val="20"/>
                <w:szCs w:val="20"/>
                <w:lang w:eastAsia="en-US" w:bidi="en-US"/>
              </w:rPr>
            </w:pPr>
            <w:r>
              <w:rPr>
                <w:rFonts w:eastAsia="Times New Roman" w:cs="Times New Roman"/>
                <w:b/>
                <w:bCs/>
                <w:sz w:val="20"/>
                <w:szCs w:val="20"/>
                <w:lang w:eastAsia="en-US" w:bidi="en-US"/>
              </w:rPr>
              <w:t>Ga</w:t>
            </w:r>
          </w:p>
        </w:tc>
        <w:tc>
          <w:tcPr>
            <w:tcW w:w="796" w:type="dxa"/>
            <w:tcBorders>
              <w:bottom w:val="single" w:sz="4" w:space="0" w:color="000000"/>
            </w:tcBorders>
            <w:shd w:val="clear" w:color="auto" w:fill="auto"/>
            <w:vAlign w:val="center"/>
          </w:tcPr>
          <w:p w:rsidR="00000000" w:rsidRDefault="00C55CA2">
            <w:pPr>
              <w:pStyle w:val="Contenudetableau"/>
              <w:widowControl/>
              <w:suppressAutoHyphens w:val="0"/>
              <w:spacing w:line="200" w:lineRule="atLeast"/>
              <w:jc w:val="center"/>
              <w:rPr>
                <w:rFonts w:eastAsia="Times New Roman" w:cs="Times New Roman"/>
                <w:b/>
                <w:bCs/>
                <w:sz w:val="20"/>
                <w:szCs w:val="20"/>
                <w:lang w:eastAsia="en-US" w:bidi="en-US"/>
              </w:rPr>
            </w:pPr>
            <w:r>
              <w:rPr>
                <w:rFonts w:eastAsia="Times New Roman" w:cs="Times New Roman"/>
                <w:b/>
                <w:bCs/>
                <w:sz w:val="20"/>
                <w:szCs w:val="20"/>
                <w:lang w:eastAsia="en-US" w:bidi="en-US"/>
              </w:rPr>
              <w:t>Pt</w:t>
            </w:r>
          </w:p>
        </w:tc>
        <w:tc>
          <w:tcPr>
            <w:tcW w:w="889" w:type="dxa"/>
            <w:tcBorders>
              <w:bottom w:val="single" w:sz="4" w:space="0" w:color="000000"/>
            </w:tcBorders>
            <w:shd w:val="clear" w:color="auto" w:fill="auto"/>
            <w:vAlign w:val="center"/>
          </w:tcPr>
          <w:p w:rsidR="00000000" w:rsidRDefault="00C55CA2">
            <w:pPr>
              <w:pStyle w:val="Contenudetableau"/>
              <w:widowControl/>
              <w:suppressAutoHyphens w:val="0"/>
              <w:spacing w:line="200" w:lineRule="atLeast"/>
              <w:jc w:val="center"/>
              <w:rPr>
                <w:rFonts w:eastAsia="Times New Roman" w:cs="Times New Roman"/>
                <w:b/>
                <w:bCs/>
                <w:sz w:val="20"/>
                <w:szCs w:val="20"/>
                <w:lang w:eastAsia="en-US" w:bidi="en-US"/>
              </w:rPr>
            </w:pPr>
            <w:r>
              <w:rPr>
                <w:rFonts w:eastAsia="Times New Roman" w:cs="Times New Roman"/>
                <w:b/>
                <w:bCs/>
                <w:sz w:val="20"/>
                <w:szCs w:val="20"/>
                <w:lang w:eastAsia="en-US" w:bidi="en-US"/>
              </w:rPr>
              <w:t>Pa</w:t>
            </w:r>
          </w:p>
        </w:tc>
        <w:tc>
          <w:tcPr>
            <w:tcW w:w="1358" w:type="dxa"/>
            <w:tcBorders>
              <w:bottom w:val="single" w:sz="4" w:space="0" w:color="000000"/>
            </w:tcBorders>
            <w:shd w:val="clear" w:color="auto" w:fill="auto"/>
            <w:vAlign w:val="center"/>
          </w:tcPr>
          <w:p w:rsidR="00000000" w:rsidRDefault="00C55CA2">
            <w:pPr>
              <w:pStyle w:val="Contenudetableau"/>
              <w:widowControl/>
              <w:suppressAutoHyphens w:val="0"/>
              <w:spacing w:line="200" w:lineRule="atLeast"/>
              <w:jc w:val="center"/>
              <w:rPr>
                <w:rFonts w:eastAsia="CMR10" w:cs="Times New Roman"/>
                <w:b/>
                <w:bCs/>
                <w:color w:val="000000"/>
                <w:sz w:val="20"/>
                <w:szCs w:val="20"/>
                <w:lang w:eastAsia="en-US" w:bidi="en-US"/>
              </w:rPr>
            </w:pPr>
            <w:r>
              <w:rPr>
                <w:rFonts w:eastAsia="Times New Roman" w:cs="Times New Roman"/>
                <w:b/>
                <w:bCs/>
                <w:sz w:val="20"/>
                <w:szCs w:val="20"/>
                <w:lang w:eastAsia="en-US" w:bidi="en-US"/>
              </w:rPr>
              <w:t>Co-integrated</w:t>
            </w:r>
          </w:p>
        </w:tc>
      </w:tr>
      <w:tr w:rsidR="00000000">
        <w:tc>
          <w:tcPr>
            <w:tcW w:w="1569" w:type="dxa"/>
            <w:shd w:val="clear" w:color="auto" w:fill="auto"/>
            <w:vAlign w:val="center"/>
          </w:tcPr>
          <w:p w:rsidR="00000000" w:rsidRDefault="00C55CA2">
            <w:pPr>
              <w:widowControl/>
              <w:spacing w:line="200" w:lineRule="atLeast"/>
              <w:rPr>
                <w:rFonts w:cs="Times New Roman"/>
                <w:sz w:val="20"/>
                <w:szCs w:val="20"/>
              </w:rPr>
            </w:pPr>
            <w:r>
              <w:rPr>
                <w:rFonts w:eastAsia="CMR10" w:cs="Times New Roman"/>
                <w:b/>
                <w:bCs/>
                <w:color w:val="000000"/>
                <w:sz w:val="20"/>
                <w:szCs w:val="20"/>
                <w:lang w:eastAsia="en-US" w:bidi="en-US"/>
              </w:rPr>
              <w:t>Ig</w:t>
            </w:r>
          </w:p>
        </w:tc>
        <w:tc>
          <w:tcPr>
            <w:tcW w:w="1085"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-1,8</w:t>
            </w:r>
          </w:p>
        </w:tc>
        <w:tc>
          <w:tcPr>
            <w:tcW w:w="1096" w:type="dxa"/>
            <w:shd w:val="clear" w:color="auto" w:fill="auto"/>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-6,7</w:t>
            </w:r>
          </w:p>
        </w:tc>
        <w:tc>
          <w:tcPr>
            <w:tcW w:w="796" w:type="dxa"/>
            <w:shd w:val="clear" w:color="auto" w:fill="auto"/>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-3,7</w:t>
            </w:r>
          </w:p>
        </w:tc>
        <w:tc>
          <w:tcPr>
            <w:tcW w:w="889" w:type="dxa"/>
            <w:shd w:val="clear" w:color="auto" w:fill="auto"/>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-4,2</w:t>
            </w:r>
          </w:p>
        </w:tc>
        <w:tc>
          <w:tcPr>
            <w:tcW w:w="1358" w:type="dxa"/>
            <w:shd w:val="clear" w:color="auto" w:fill="auto"/>
          </w:tcPr>
          <w:p w:rsidR="00000000" w:rsidRDefault="00C55CA2">
            <w:pPr>
              <w:pStyle w:val="Contenudetableau"/>
              <w:snapToGrid w:val="0"/>
              <w:spacing w:line="200" w:lineRule="atLeast"/>
              <w:jc w:val="center"/>
              <w:rPr>
                <w:rFonts w:eastAsia="CMR10" w:cs="Times New Roman"/>
                <w:b/>
                <w:bCs/>
                <w:color w:val="000000"/>
                <w:sz w:val="20"/>
                <w:szCs w:val="20"/>
                <w:lang w:eastAsia="en-US" w:bidi="en-US"/>
              </w:rPr>
            </w:pPr>
            <w:r>
              <w:rPr>
                <w:rFonts w:cs="Times New Roman"/>
                <w:sz w:val="20"/>
                <w:szCs w:val="20"/>
              </w:rPr>
              <w:t>No</w:t>
            </w:r>
          </w:p>
        </w:tc>
      </w:tr>
      <w:tr w:rsidR="00000000">
        <w:tc>
          <w:tcPr>
            <w:tcW w:w="1569" w:type="dxa"/>
            <w:shd w:val="clear" w:color="auto" w:fill="auto"/>
          </w:tcPr>
          <w:p w:rsidR="00000000" w:rsidRDefault="00C55CA2">
            <w:pPr>
              <w:widowControl/>
              <w:spacing w:line="200" w:lineRule="atLeast"/>
              <w:rPr>
                <w:rFonts w:cs="Times New Roman"/>
                <w:color w:val="000000"/>
                <w:sz w:val="20"/>
                <w:szCs w:val="20"/>
              </w:rPr>
            </w:pPr>
            <w:r>
              <w:rPr>
                <w:rFonts w:eastAsia="CMR10" w:cs="Times New Roman"/>
                <w:b/>
                <w:bCs/>
                <w:color w:val="000000"/>
                <w:sz w:val="20"/>
                <w:szCs w:val="20"/>
                <w:lang w:eastAsia="en-US" w:bidi="en-US"/>
              </w:rPr>
              <w:t>GDP</w:t>
            </w:r>
          </w:p>
        </w:tc>
        <w:tc>
          <w:tcPr>
            <w:tcW w:w="1085" w:type="dxa"/>
            <w:shd w:val="clear" w:color="auto" w:fill="auto"/>
          </w:tcPr>
          <w:p w:rsidR="00000000" w:rsidRDefault="00C55CA2">
            <w:pPr>
              <w:pStyle w:val="Contenudetableau"/>
              <w:snapToGrid w:val="0"/>
              <w:spacing w:line="200" w:lineRule="atLeast"/>
              <w:jc w:val="center"/>
              <w:rPr>
                <w:rFonts w:cs="Times New Roman"/>
                <w:sz w:val="20"/>
                <w:szCs w:val="20"/>
              </w:rPr>
            </w:pPr>
            <w:r>
              <w:rPr>
                <w:rFonts w:cs="Times New Roman"/>
                <w:color w:val="000000"/>
                <w:sz w:val="20"/>
                <w:szCs w:val="20"/>
              </w:rPr>
              <w:t>-2,4**</w:t>
            </w:r>
          </w:p>
        </w:tc>
        <w:tc>
          <w:tcPr>
            <w:tcW w:w="1096"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-9</w:t>
            </w:r>
          </w:p>
        </w:tc>
        <w:tc>
          <w:tcPr>
            <w:tcW w:w="796"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-5,2*</w:t>
            </w:r>
          </w:p>
        </w:tc>
        <w:tc>
          <w:tcPr>
            <w:tcW w:w="889"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-7.3**</w:t>
            </w:r>
          </w:p>
        </w:tc>
        <w:tc>
          <w:tcPr>
            <w:tcW w:w="1358" w:type="dxa"/>
            <w:shd w:val="clear" w:color="auto" w:fill="auto"/>
            <w:vAlign w:val="center"/>
          </w:tcPr>
          <w:p w:rsidR="00000000" w:rsidRDefault="00C55CA2">
            <w:pPr>
              <w:pStyle w:val="Contenudetableau"/>
              <w:snapToGrid w:val="0"/>
              <w:spacing w:line="200" w:lineRule="atLeast"/>
              <w:jc w:val="center"/>
              <w:rPr>
                <w:rFonts w:eastAsia="CMR10" w:cs="Times New Roman"/>
                <w:b/>
                <w:bCs/>
                <w:color w:val="000000"/>
                <w:sz w:val="20"/>
                <w:szCs w:val="20"/>
                <w:lang w:eastAsia="en-US" w:bidi="en-US"/>
              </w:rPr>
            </w:pPr>
            <w:r>
              <w:rPr>
                <w:rFonts w:cs="Times New Roman"/>
                <w:sz w:val="20"/>
                <w:szCs w:val="20"/>
              </w:rPr>
              <w:t>Yes</w:t>
            </w:r>
          </w:p>
        </w:tc>
      </w:tr>
      <w:tr w:rsidR="00000000">
        <w:tc>
          <w:tcPr>
            <w:tcW w:w="1569" w:type="dxa"/>
            <w:shd w:val="clear" w:color="auto" w:fill="auto"/>
          </w:tcPr>
          <w:p w:rsidR="00000000" w:rsidRDefault="00C55CA2">
            <w:pPr>
              <w:widowControl/>
              <w:spacing w:line="200" w:lineRule="atLeast"/>
              <w:rPr>
                <w:rFonts w:eastAsia="Times New Roman" w:cs="Times New Roman"/>
                <w:sz w:val="20"/>
                <w:szCs w:val="20"/>
                <w:lang w:eastAsia="en-US" w:bidi="en-US"/>
              </w:rPr>
            </w:pPr>
            <w:r>
              <w:rPr>
                <w:rFonts w:eastAsia="CMR10" w:cs="Times New Roman"/>
                <w:b/>
                <w:bCs/>
                <w:color w:val="000000"/>
                <w:sz w:val="20"/>
                <w:szCs w:val="20"/>
                <w:lang w:eastAsia="en-US" w:bidi="en-US"/>
              </w:rPr>
              <w:t>CRED</w:t>
            </w:r>
          </w:p>
        </w:tc>
        <w:tc>
          <w:tcPr>
            <w:tcW w:w="1085" w:type="dxa"/>
            <w:shd w:val="clear" w:color="auto" w:fill="auto"/>
            <w:vAlign w:val="center"/>
          </w:tcPr>
          <w:p w:rsidR="00000000" w:rsidRDefault="00C55CA2">
            <w:pPr>
              <w:pStyle w:val="Contenudetableau"/>
              <w:widowControl/>
              <w:suppressAutoHyphens w:val="0"/>
              <w:snapToGrid w:val="0"/>
              <w:spacing w:line="200" w:lineRule="atLeast"/>
              <w:jc w:val="center"/>
              <w:rPr>
                <w:rFonts w:cs="Times New Roman"/>
                <w:sz w:val="20"/>
                <w:szCs w:val="20"/>
              </w:rPr>
            </w:pPr>
            <w:r>
              <w:rPr>
                <w:rFonts w:eastAsia="Times New Roman" w:cs="Times New Roman"/>
                <w:sz w:val="20"/>
                <w:szCs w:val="20"/>
                <w:lang w:eastAsia="en-US" w:bidi="en-US"/>
              </w:rPr>
              <w:t>-2,2*</w:t>
            </w:r>
          </w:p>
        </w:tc>
        <w:tc>
          <w:tcPr>
            <w:tcW w:w="1096"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-6,3</w:t>
            </w:r>
          </w:p>
        </w:tc>
        <w:tc>
          <w:tcPr>
            <w:tcW w:w="796"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-6,1**</w:t>
            </w:r>
          </w:p>
        </w:tc>
        <w:tc>
          <w:tcPr>
            <w:tcW w:w="889"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-6,8**</w:t>
            </w:r>
          </w:p>
        </w:tc>
        <w:tc>
          <w:tcPr>
            <w:tcW w:w="1358" w:type="dxa"/>
            <w:shd w:val="clear" w:color="auto" w:fill="auto"/>
            <w:vAlign w:val="center"/>
          </w:tcPr>
          <w:p w:rsidR="00000000" w:rsidRDefault="00C55CA2">
            <w:pPr>
              <w:pStyle w:val="Contenudetableau"/>
              <w:snapToGrid w:val="0"/>
              <w:spacing w:line="200" w:lineRule="atLeast"/>
              <w:jc w:val="center"/>
              <w:rPr>
                <w:rFonts w:eastAsia="CMR10" w:cs="Times New Roman"/>
                <w:b/>
                <w:bCs/>
                <w:color w:val="000000"/>
                <w:sz w:val="20"/>
                <w:szCs w:val="20"/>
                <w:lang w:eastAsia="en-US" w:bidi="en-US"/>
              </w:rPr>
            </w:pPr>
            <w:r>
              <w:rPr>
                <w:rFonts w:cs="Times New Roman"/>
                <w:sz w:val="20"/>
                <w:szCs w:val="20"/>
              </w:rPr>
              <w:t>Yes</w:t>
            </w:r>
          </w:p>
        </w:tc>
      </w:tr>
      <w:tr w:rsidR="00000000">
        <w:tc>
          <w:tcPr>
            <w:tcW w:w="1569" w:type="dxa"/>
            <w:shd w:val="clear" w:color="auto" w:fill="auto"/>
          </w:tcPr>
          <w:p w:rsidR="00000000" w:rsidRDefault="00C55CA2">
            <w:pPr>
              <w:widowControl/>
              <w:spacing w:line="200" w:lineRule="atLeast"/>
              <w:rPr>
                <w:rFonts w:eastAsia="Times New Roman" w:cs="Times New Roman"/>
                <w:sz w:val="20"/>
                <w:szCs w:val="20"/>
                <w:lang w:eastAsia="en-US" w:bidi="en-US"/>
              </w:rPr>
            </w:pPr>
            <w:r>
              <w:rPr>
                <w:rFonts w:eastAsia="CMR10" w:cs="Times New Roman"/>
                <w:b/>
                <w:bCs/>
                <w:color w:val="000000"/>
                <w:sz w:val="20"/>
                <w:szCs w:val="20"/>
                <w:lang w:eastAsia="en-US" w:bidi="en-US"/>
              </w:rPr>
              <w:t>GOUV</w:t>
            </w:r>
          </w:p>
        </w:tc>
        <w:tc>
          <w:tcPr>
            <w:tcW w:w="1085" w:type="dxa"/>
            <w:shd w:val="clear" w:color="auto" w:fill="auto"/>
            <w:vAlign w:val="center"/>
          </w:tcPr>
          <w:p w:rsidR="00000000" w:rsidRDefault="00C55CA2">
            <w:pPr>
              <w:pStyle w:val="Contenudetableau"/>
              <w:widowControl/>
              <w:suppressAutoHyphens w:val="0"/>
              <w:snapToGrid w:val="0"/>
              <w:spacing w:line="200" w:lineRule="atLeast"/>
              <w:jc w:val="center"/>
              <w:rPr>
                <w:rFonts w:cs="Times New Roman"/>
                <w:sz w:val="20"/>
                <w:szCs w:val="20"/>
              </w:rPr>
            </w:pPr>
            <w:r>
              <w:rPr>
                <w:rFonts w:eastAsia="Times New Roman" w:cs="Times New Roman"/>
                <w:sz w:val="20"/>
                <w:szCs w:val="20"/>
                <w:lang w:eastAsia="en-US" w:bidi="en-US"/>
              </w:rPr>
              <w:t>-1,6</w:t>
            </w:r>
          </w:p>
        </w:tc>
        <w:tc>
          <w:tcPr>
            <w:tcW w:w="1096"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-7,9</w:t>
            </w:r>
          </w:p>
        </w:tc>
        <w:tc>
          <w:tcPr>
            <w:tcW w:w="796"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-4,3</w:t>
            </w:r>
          </w:p>
        </w:tc>
        <w:tc>
          <w:tcPr>
            <w:tcW w:w="889"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-7**</w:t>
            </w:r>
          </w:p>
        </w:tc>
        <w:tc>
          <w:tcPr>
            <w:tcW w:w="1358" w:type="dxa"/>
            <w:shd w:val="clear" w:color="auto" w:fill="auto"/>
            <w:vAlign w:val="center"/>
          </w:tcPr>
          <w:p w:rsidR="00000000" w:rsidRDefault="00C55CA2">
            <w:pPr>
              <w:pStyle w:val="Contenudetableau"/>
              <w:snapToGrid w:val="0"/>
              <w:spacing w:line="200" w:lineRule="atLeast"/>
              <w:jc w:val="center"/>
              <w:rPr>
                <w:rFonts w:eastAsia="CMR10" w:cs="Times New Roman"/>
                <w:b/>
                <w:bCs/>
                <w:color w:val="000000"/>
                <w:sz w:val="20"/>
                <w:szCs w:val="20"/>
                <w:lang w:eastAsia="en-US" w:bidi="en-US"/>
              </w:rPr>
            </w:pPr>
            <w:r>
              <w:rPr>
                <w:rFonts w:cs="Times New Roman"/>
                <w:sz w:val="20"/>
                <w:szCs w:val="20"/>
              </w:rPr>
              <w:t>Yes</w:t>
            </w:r>
          </w:p>
        </w:tc>
      </w:tr>
      <w:tr w:rsidR="00000000">
        <w:tc>
          <w:tcPr>
            <w:tcW w:w="1569" w:type="dxa"/>
            <w:shd w:val="clear" w:color="auto" w:fill="auto"/>
          </w:tcPr>
          <w:p w:rsidR="00000000" w:rsidRDefault="00C55CA2">
            <w:pPr>
              <w:widowControl/>
              <w:spacing w:line="200" w:lineRule="atLeast"/>
              <w:rPr>
                <w:rFonts w:eastAsia="Times New Roman" w:cs="Times New Roman"/>
                <w:sz w:val="20"/>
                <w:szCs w:val="20"/>
                <w:lang w:eastAsia="en-US" w:bidi="en-US"/>
              </w:rPr>
            </w:pPr>
            <w:r>
              <w:rPr>
                <w:rFonts w:eastAsia="CMR10" w:cs="Times New Roman"/>
                <w:b/>
                <w:bCs/>
                <w:color w:val="000000"/>
                <w:sz w:val="20"/>
                <w:szCs w:val="20"/>
                <w:lang w:eastAsia="en-US" w:bidi="en-US"/>
              </w:rPr>
              <w:t>GapGDP</w:t>
            </w:r>
          </w:p>
        </w:tc>
        <w:tc>
          <w:tcPr>
            <w:tcW w:w="1085" w:type="dxa"/>
            <w:shd w:val="clear" w:color="auto" w:fill="auto"/>
            <w:vAlign w:val="center"/>
          </w:tcPr>
          <w:p w:rsidR="00000000" w:rsidRDefault="00C55CA2">
            <w:pPr>
              <w:pStyle w:val="Contenudetableau"/>
              <w:widowControl/>
              <w:suppressAutoHyphens w:val="0"/>
              <w:snapToGrid w:val="0"/>
              <w:spacing w:line="200" w:lineRule="atLeast"/>
              <w:jc w:val="center"/>
              <w:rPr>
                <w:rFonts w:cs="Times New Roman"/>
                <w:sz w:val="20"/>
                <w:szCs w:val="20"/>
              </w:rPr>
            </w:pPr>
            <w:r>
              <w:rPr>
                <w:rFonts w:eastAsia="Times New Roman" w:cs="Times New Roman"/>
                <w:sz w:val="20"/>
                <w:szCs w:val="20"/>
                <w:lang w:eastAsia="en-US" w:bidi="en-US"/>
              </w:rPr>
              <w:t>-0,2</w:t>
            </w:r>
          </w:p>
        </w:tc>
        <w:tc>
          <w:tcPr>
            <w:tcW w:w="1096"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-0,4</w:t>
            </w:r>
          </w:p>
        </w:tc>
        <w:tc>
          <w:tcPr>
            <w:tcW w:w="796"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-2,6</w:t>
            </w:r>
          </w:p>
        </w:tc>
        <w:tc>
          <w:tcPr>
            <w:tcW w:w="889"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-1,5</w:t>
            </w:r>
          </w:p>
        </w:tc>
        <w:tc>
          <w:tcPr>
            <w:tcW w:w="1358" w:type="dxa"/>
            <w:shd w:val="clear" w:color="auto" w:fill="auto"/>
            <w:vAlign w:val="center"/>
          </w:tcPr>
          <w:p w:rsidR="00000000" w:rsidRDefault="00C55CA2">
            <w:pPr>
              <w:pStyle w:val="Contenudetableau"/>
              <w:snapToGrid w:val="0"/>
              <w:spacing w:line="200" w:lineRule="atLeast"/>
              <w:jc w:val="center"/>
              <w:rPr>
                <w:rFonts w:eastAsia="CMR10" w:cs="Times New Roman"/>
                <w:b/>
                <w:bCs/>
                <w:color w:val="000000"/>
                <w:sz w:val="20"/>
                <w:szCs w:val="20"/>
                <w:lang w:eastAsia="en-US" w:bidi="en-US"/>
              </w:rPr>
            </w:pPr>
            <w:r>
              <w:rPr>
                <w:rFonts w:cs="Times New Roman"/>
                <w:sz w:val="20"/>
                <w:szCs w:val="20"/>
              </w:rPr>
              <w:t>No</w:t>
            </w:r>
          </w:p>
        </w:tc>
      </w:tr>
      <w:tr w:rsidR="00000000">
        <w:tc>
          <w:tcPr>
            <w:tcW w:w="1569" w:type="dxa"/>
            <w:shd w:val="clear" w:color="auto" w:fill="auto"/>
          </w:tcPr>
          <w:p w:rsidR="00000000" w:rsidRDefault="00C55CA2">
            <w:pPr>
              <w:widowControl/>
              <w:spacing w:line="200" w:lineRule="atLeast"/>
              <w:rPr>
                <w:rFonts w:eastAsia="Times New Roman" w:cs="Times New Roman"/>
                <w:sz w:val="20"/>
                <w:szCs w:val="20"/>
                <w:lang w:eastAsia="en-US" w:bidi="en-US"/>
              </w:rPr>
            </w:pPr>
            <w:r>
              <w:rPr>
                <w:rFonts w:eastAsia="CMR10" w:cs="Times New Roman"/>
                <w:b/>
                <w:bCs/>
                <w:color w:val="000000"/>
                <w:sz w:val="20"/>
                <w:szCs w:val="20"/>
                <w:lang w:eastAsia="en-US" w:bidi="en-US"/>
              </w:rPr>
              <w:t>INFL</w:t>
            </w:r>
          </w:p>
        </w:tc>
        <w:tc>
          <w:tcPr>
            <w:tcW w:w="1085" w:type="dxa"/>
            <w:shd w:val="clear" w:color="auto" w:fill="auto"/>
            <w:vAlign w:val="center"/>
          </w:tcPr>
          <w:p w:rsidR="00000000" w:rsidRDefault="00C55CA2">
            <w:pPr>
              <w:pStyle w:val="Contenudetableau"/>
              <w:widowControl/>
              <w:suppressAutoHyphens w:val="0"/>
              <w:snapToGrid w:val="0"/>
              <w:spacing w:line="200" w:lineRule="atLeast"/>
              <w:jc w:val="center"/>
              <w:rPr>
                <w:rFonts w:cs="Times New Roman"/>
                <w:sz w:val="20"/>
                <w:szCs w:val="20"/>
              </w:rPr>
            </w:pPr>
            <w:r>
              <w:rPr>
                <w:rFonts w:eastAsia="Times New Roman" w:cs="Times New Roman"/>
                <w:sz w:val="20"/>
                <w:szCs w:val="20"/>
                <w:lang w:eastAsia="en-US" w:bidi="en-US"/>
              </w:rPr>
              <w:t>-0,2</w:t>
            </w:r>
          </w:p>
        </w:tc>
        <w:tc>
          <w:tcPr>
            <w:tcW w:w="1096"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-0,4</w:t>
            </w:r>
          </w:p>
        </w:tc>
        <w:tc>
          <w:tcPr>
            <w:tcW w:w="796"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-1,9</w:t>
            </w:r>
          </w:p>
        </w:tc>
        <w:tc>
          <w:tcPr>
            <w:tcW w:w="889"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-1</w:t>
            </w:r>
          </w:p>
        </w:tc>
        <w:tc>
          <w:tcPr>
            <w:tcW w:w="1358" w:type="dxa"/>
            <w:shd w:val="clear" w:color="auto" w:fill="auto"/>
            <w:vAlign w:val="center"/>
          </w:tcPr>
          <w:p w:rsidR="00000000" w:rsidRDefault="00C55CA2">
            <w:pPr>
              <w:pStyle w:val="Contenudetableau"/>
              <w:snapToGrid w:val="0"/>
              <w:spacing w:line="200" w:lineRule="atLeast"/>
              <w:jc w:val="center"/>
              <w:rPr>
                <w:rFonts w:eastAsia="CMR10" w:cs="Times New Roman"/>
                <w:b/>
                <w:bCs/>
                <w:color w:val="000000"/>
                <w:sz w:val="20"/>
                <w:szCs w:val="20"/>
                <w:lang w:eastAsia="en-US" w:bidi="en-US"/>
              </w:rPr>
            </w:pPr>
            <w:r>
              <w:rPr>
                <w:rFonts w:cs="Times New Roman"/>
                <w:sz w:val="20"/>
                <w:szCs w:val="20"/>
              </w:rPr>
              <w:t>No</w:t>
            </w:r>
          </w:p>
        </w:tc>
      </w:tr>
      <w:tr w:rsidR="00000000">
        <w:tc>
          <w:tcPr>
            <w:tcW w:w="1569" w:type="dxa"/>
            <w:shd w:val="clear" w:color="auto" w:fill="auto"/>
          </w:tcPr>
          <w:p w:rsidR="00000000" w:rsidRDefault="00C55CA2">
            <w:pPr>
              <w:widowControl/>
              <w:suppressAutoHyphens w:val="0"/>
              <w:spacing w:line="200" w:lineRule="atLeast"/>
              <w:rPr>
                <w:rFonts w:eastAsia="Times New Roman" w:cs="Times New Roman"/>
                <w:sz w:val="20"/>
                <w:szCs w:val="20"/>
                <w:lang w:eastAsia="en-US" w:bidi="en-US"/>
              </w:rPr>
            </w:pPr>
            <w:r>
              <w:rPr>
                <w:rFonts w:eastAsia="CMR10" w:cs="Times New Roman"/>
                <w:b/>
                <w:bCs/>
                <w:color w:val="000000"/>
                <w:sz w:val="20"/>
                <w:szCs w:val="20"/>
                <w:lang w:eastAsia="en-US" w:bidi="en-US"/>
              </w:rPr>
              <w:t>RE</w:t>
            </w:r>
            <w:r>
              <w:rPr>
                <w:rFonts w:eastAsia="CMR10" w:cs="Times New Roman"/>
                <w:b/>
                <w:bCs/>
                <w:color w:val="000000"/>
                <w:sz w:val="20"/>
                <w:szCs w:val="20"/>
                <w:lang w:eastAsia="en-US" w:bidi="en-US"/>
              </w:rPr>
              <w:t>R</w:t>
            </w:r>
          </w:p>
        </w:tc>
        <w:tc>
          <w:tcPr>
            <w:tcW w:w="1085" w:type="dxa"/>
            <w:shd w:val="clear" w:color="auto" w:fill="auto"/>
            <w:vAlign w:val="center"/>
          </w:tcPr>
          <w:p w:rsidR="00000000" w:rsidRDefault="00C55CA2">
            <w:pPr>
              <w:pStyle w:val="Contenudetableau"/>
              <w:widowControl/>
              <w:suppressAutoHyphens w:val="0"/>
              <w:snapToGrid w:val="0"/>
              <w:spacing w:line="200" w:lineRule="atLeast"/>
              <w:jc w:val="center"/>
              <w:rPr>
                <w:rFonts w:cs="Times New Roman"/>
                <w:sz w:val="20"/>
                <w:szCs w:val="20"/>
              </w:rPr>
            </w:pPr>
            <w:r>
              <w:rPr>
                <w:rFonts w:eastAsia="Times New Roman" w:cs="Times New Roman"/>
                <w:sz w:val="20"/>
                <w:szCs w:val="20"/>
                <w:lang w:eastAsia="en-US" w:bidi="en-US"/>
              </w:rPr>
              <w:t>-0,8</w:t>
            </w:r>
          </w:p>
        </w:tc>
        <w:tc>
          <w:tcPr>
            <w:tcW w:w="1096"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-0,9</w:t>
            </w:r>
          </w:p>
        </w:tc>
        <w:tc>
          <w:tcPr>
            <w:tcW w:w="796"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0,3</w:t>
            </w:r>
          </w:p>
        </w:tc>
        <w:tc>
          <w:tcPr>
            <w:tcW w:w="889"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0,2</w:t>
            </w:r>
          </w:p>
        </w:tc>
        <w:tc>
          <w:tcPr>
            <w:tcW w:w="1358" w:type="dxa"/>
            <w:shd w:val="clear" w:color="auto" w:fill="auto"/>
            <w:vAlign w:val="center"/>
          </w:tcPr>
          <w:p w:rsidR="00000000" w:rsidRDefault="00C55CA2">
            <w:pPr>
              <w:pStyle w:val="Contenudetableau"/>
              <w:snapToGrid w:val="0"/>
              <w:spacing w:line="200" w:lineRule="atLeast"/>
              <w:jc w:val="center"/>
              <w:rPr>
                <w:rFonts w:eastAsia="CMR10" w:cs="Times New Roman"/>
                <w:b/>
                <w:bCs/>
                <w:color w:val="000000"/>
                <w:sz w:val="20"/>
                <w:szCs w:val="20"/>
                <w:lang w:eastAsia="en-US" w:bidi="en-US"/>
              </w:rPr>
            </w:pPr>
            <w:r>
              <w:rPr>
                <w:rFonts w:cs="Times New Roman"/>
                <w:sz w:val="20"/>
                <w:szCs w:val="20"/>
              </w:rPr>
              <w:t>No</w:t>
            </w:r>
          </w:p>
        </w:tc>
      </w:tr>
      <w:tr w:rsidR="00000000">
        <w:tc>
          <w:tcPr>
            <w:tcW w:w="1569" w:type="dxa"/>
            <w:shd w:val="clear" w:color="auto" w:fill="auto"/>
          </w:tcPr>
          <w:p w:rsidR="00000000" w:rsidRDefault="00C55CA2">
            <w:pPr>
              <w:widowControl/>
              <w:suppressAutoHyphens w:val="0"/>
              <w:spacing w:line="200" w:lineRule="atLeast"/>
              <w:rPr>
                <w:rFonts w:eastAsia="Times New Roman" w:cs="Times New Roman"/>
                <w:sz w:val="20"/>
                <w:szCs w:val="20"/>
                <w:lang w:eastAsia="en-US" w:bidi="en-US"/>
              </w:rPr>
            </w:pPr>
            <w:r>
              <w:rPr>
                <w:rFonts w:eastAsia="CMR10" w:cs="Times New Roman"/>
                <w:b/>
                <w:bCs/>
                <w:color w:val="000000"/>
                <w:sz w:val="20"/>
                <w:szCs w:val="20"/>
                <w:lang w:eastAsia="en-US" w:bidi="en-US"/>
              </w:rPr>
              <w:t>TOT</w:t>
            </w:r>
          </w:p>
        </w:tc>
        <w:tc>
          <w:tcPr>
            <w:tcW w:w="1085" w:type="dxa"/>
            <w:shd w:val="clear" w:color="auto" w:fill="auto"/>
            <w:vAlign w:val="center"/>
          </w:tcPr>
          <w:p w:rsidR="00000000" w:rsidRDefault="00C55CA2">
            <w:pPr>
              <w:pStyle w:val="Contenudetableau"/>
              <w:widowControl/>
              <w:suppressAutoHyphens w:val="0"/>
              <w:snapToGrid w:val="0"/>
              <w:spacing w:line="200" w:lineRule="atLeast"/>
              <w:jc w:val="center"/>
              <w:rPr>
                <w:rFonts w:cs="Times New Roman"/>
                <w:sz w:val="20"/>
                <w:szCs w:val="20"/>
              </w:rPr>
            </w:pPr>
            <w:r>
              <w:rPr>
                <w:rFonts w:eastAsia="Times New Roman" w:cs="Times New Roman"/>
                <w:sz w:val="20"/>
                <w:szCs w:val="20"/>
                <w:lang w:eastAsia="en-US" w:bidi="en-US"/>
              </w:rPr>
              <w:t>-0,4</w:t>
            </w:r>
          </w:p>
        </w:tc>
        <w:tc>
          <w:tcPr>
            <w:tcW w:w="1096"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-0,7</w:t>
            </w:r>
          </w:p>
        </w:tc>
        <w:tc>
          <w:tcPr>
            <w:tcW w:w="796"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-2,7</w:t>
            </w:r>
          </w:p>
        </w:tc>
        <w:tc>
          <w:tcPr>
            <w:tcW w:w="889"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-1,6</w:t>
            </w:r>
          </w:p>
        </w:tc>
        <w:tc>
          <w:tcPr>
            <w:tcW w:w="1358" w:type="dxa"/>
            <w:shd w:val="clear" w:color="auto" w:fill="auto"/>
            <w:vAlign w:val="center"/>
          </w:tcPr>
          <w:p w:rsidR="00000000" w:rsidRDefault="00C55CA2">
            <w:pPr>
              <w:pStyle w:val="Contenudetableau"/>
              <w:snapToGrid w:val="0"/>
              <w:spacing w:line="200" w:lineRule="atLeast"/>
              <w:jc w:val="center"/>
              <w:rPr>
                <w:rFonts w:eastAsia="Garamond" w:cs="Times New Roman"/>
                <w:b/>
                <w:bCs/>
                <w:color w:val="000000"/>
                <w:sz w:val="20"/>
                <w:szCs w:val="20"/>
                <w:lang w:eastAsia="en-US" w:bidi="en-US"/>
              </w:rPr>
            </w:pPr>
            <w:r>
              <w:rPr>
                <w:rFonts w:cs="Times New Roman"/>
                <w:sz w:val="20"/>
                <w:szCs w:val="20"/>
              </w:rPr>
              <w:t>No</w:t>
            </w:r>
          </w:p>
        </w:tc>
      </w:tr>
      <w:tr w:rsidR="00000000">
        <w:tc>
          <w:tcPr>
            <w:tcW w:w="1569" w:type="dxa"/>
            <w:shd w:val="clear" w:color="auto" w:fill="auto"/>
          </w:tcPr>
          <w:p w:rsidR="00000000" w:rsidRDefault="00C55CA2">
            <w:pPr>
              <w:widowControl/>
              <w:suppressAutoHyphens w:val="0"/>
              <w:spacing w:line="200" w:lineRule="atLeast"/>
              <w:rPr>
                <w:rFonts w:eastAsia="Times New Roman" w:cs="Times New Roman"/>
                <w:sz w:val="20"/>
                <w:szCs w:val="20"/>
                <w:lang w:eastAsia="en-US" w:bidi="en-US"/>
              </w:rPr>
            </w:pPr>
            <w:r>
              <w:rPr>
                <w:rFonts w:eastAsia="Garamond" w:cs="Times New Roman"/>
                <w:b/>
                <w:bCs/>
                <w:color w:val="000000"/>
                <w:sz w:val="20"/>
                <w:szCs w:val="20"/>
                <w:lang w:eastAsia="en-US" w:bidi="en-US"/>
              </w:rPr>
              <w:t>OUV</w:t>
            </w:r>
          </w:p>
        </w:tc>
        <w:tc>
          <w:tcPr>
            <w:tcW w:w="1085" w:type="dxa"/>
            <w:shd w:val="clear" w:color="auto" w:fill="auto"/>
            <w:vAlign w:val="center"/>
          </w:tcPr>
          <w:p w:rsidR="00000000" w:rsidRDefault="00C55CA2">
            <w:pPr>
              <w:pStyle w:val="Contenudetableau"/>
              <w:widowControl/>
              <w:suppressAutoHyphens w:val="0"/>
              <w:snapToGrid w:val="0"/>
              <w:spacing w:line="200" w:lineRule="atLeast"/>
              <w:jc w:val="center"/>
              <w:rPr>
                <w:rFonts w:cs="Times New Roman"/>
                <w:sz w:val="20"/>
                <w:szCs w:val="20"/>
              </w:rPr>
            </w:pPr>
            <w:r>
              <w:rPr>
                <w:rFonts w:eastAsia="Times New Roman" w:cs="Times New Roman"/>
                <w:sz w:val="20"/>
                <w:szCs w:val="20"/>
                <w:lang w:eastAsia="en-US" w:bidi="en-US"/>
              </w:rPr>
              <w:t>-1</w:t>
            </w:r>
          </w:p>
        </w:tc>
        <w:tc>
          <w:tcPr>
            <w:tcW w:w="1096"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-2,4</w:t>
            </w:r>
          </w:p>
        </w:tc>
        <w:tc>
          <w:tcPr>
            <w:tcW w:w="796"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-3,6</w:t>
            </w:r>
          </w:p>
        </w:tc>
        <w:tc>
          <w:tcPr>
            <w:tcW w:w="889" w:type="dxa"/>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-2,9</w:t>
            </w:r>
          </w:p>
        </w:tc>
        <w:tc>
          <w:tcPr>
            <w:tcW w:w="1358" w:type="dxa"/>
            <w:shd w:val="clear" w:color="auto" w:fill="auto"/>
            <w:vAlign w:val="center"/>
          </w:tcPr>
          <w:p w:rsidR="00000000" w:rsidRDefault="00C55CA2">
            <w:pPr>
              <w:pStyle w:val="Contenudetableau"/>
              <w:snapToGrid w:val="0"/>
              <w:spacing w:line="200" w:lineRule="atLeast"/>
              <w:jc w:val="center"/>
              <w:rPr>
                <w:rFonts w:eastAsia="Times New Roman" w:cs="Times New Roman"/>
                <w:b/>
                <w:bCs/>
                <w:sz w:val="20"/>
                <w:szCs w:val="20"/>
                <w:lang w:eastAsia="en-US" w:bidi="en-US"/>
              </w:rPr>
            </w:pPr>
            <w:r>
              <w:rPr>
                <w:rFonts w:cs="Times New Roman"/>
                <w:sz w:val="20"/>
                <w:szCs w:val="20"/>
              </w:rPr>
              <w:t>No</w:t>
            </w:r>
          </w:p>
        </w:tc>
      </w:tr>
      <w:tr w:rsidR="00000000">
        <w:tc>
          <w:tcPr>
            <w:tcW w:w="1569" w:type="dxa"/>
            <w:tcBorders>
              <w:bottom w:val="single" w:sz="4" w:space="0" w:color="000000"/>
            </w:tcBorders>
            <w:shd w:val="clear" w:color="auto" w:fill="auto"/>
          </w:tcPr>
          <w:p w:rsidR="00000000" w:rsidRDefault="00C55CA2">
            <w:pPr>
              <w:pStyle w:val="Contenudetableau"/>
              <w:widowControl/>
              <w:suppressAutoHyphens w:val="0"/>
              <w:spacing w:line="200" w:lineRule="atLeast"/>
              <w:rPr>
                <w:rFonts w:eastAsia="Times New Roman" w:cs="Times New Roman"/>
                <w:sz w:val="20"/>
                <w:szCs w:val="20"/>
                <w:lang w:eastAsia="en-US" w:bidi="en-US"/>
              </w:rPr>
            </w:pPr>
            <w:r>
              <w:rPr>
                <w:rFonts w:eastAsia="Times New Roman" w:cs="Times New Roman"/>
                <w:b/>
                <w:bCs/>
                <w:sz w:val="20"/>
                <w:szCs w:val="20"/>
                <w:lang w:eastAsia="en-US" w:bidi="en-US"/>
              </w:rPr>
              <w:t>R</w:t>
            </w:r>
          </w:p>
        </w:tc>
        <w:tc>
          <w:tcPr>
            <w:tcW w:w="1085" w:type="dxa"/>
            <w:tcBorders>
              <w:bottom w:val="single" w:sz="4" w:space="0" w:color="000000"/>
            </w:tcBorders>
            <w:shd w:val="clear" w:color="auto" w:fill="auto"/>
          </w:tcPr>
          <w:p w:rsidR="00000000" w:rsidRDefault="00C55CA2">
            <w:pPr>
              <w:pStyle w:val="Contenudetableau"/>
              <w:widowControl/>
              <w:suppressAutoHyphens w:val="0"/>
              <w:snapToGrid w:val="0"/>
              <w:spacing w:line="200" w:lineRule="atLeast"/>
              <w:jc w:val="center"/>
              <w:rPr>
                <w:rFonts w:cs="Times New Roman"/>
                <w:sz w:val="20"/>
                <w:szCs w:val="20"/>
              </w:rPr>
            </w:pPr>
            <w:r>
              <w:rPr>
                <w:rFonts w:eastAsia="Times New Roman" w:cs="Times New Roman"/>
                <w:sz w:val="20"/>
                <w:szCs w:val="20"/>
                <w:lang w:eastAsia="en-US" w:bidi="en-US"/>
              </w:rPr>
              <w:t>-1,2</w:t>
            </w:r>
          </w:p>
        </w:tc>
        <w:tc>
          <w:tcPr>
            <w:tcW w:w="1096" w:type="dxa"/>
            <w:tcBorders>
              <w:bottom w:val="single" w:sz="4" w:space="0" w:color="000000"/>
            </w:tcBorders>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-3,1</w:t>
            </w:r>
          </w:p>
        </w:tc>
        <w:tc>
          <w:tcPr>
            <w:tcW w:w="796" w:type="dxa"/>
            <w:tcBorders>
              <w:bottom w:val="single" w:sz="4" w:space="0" w:color="000000"/>
            </w:tcBorders>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-3,8</w:t>
            </w:r>
          </w:p>
        </w:tc>
        <w:tc>
          <w:tcPr>
            <w:tcW w:w="889" w:type="dxa"/>
            <w:tcBorders>
              <w:bottom w:val="single" w:sz="4" w:space="0" w:color="000000"/>
            </w:tcBorders>
            <w:shd w:val="clear" w:color="auto" w:fill="auto"/>
            <w:vAlign w:val="center"/>
          </w:tcPr>
          <w:p w:rsidR="00000000" w:rsidRDefault="00C55CA2">
            <w:pPr>
              <w:pStyle w:val="Contenudetableau"/>
              <w:snapToGrid w:val="0"/>
              <w:spacing w:line="200" w:lineRule="atLeast"/>
              <w:jc w:val="center"/>
              <w:rPr>
                <w:rFonts w:cs="Times New Roman"/>
                <w:sz w:val="20"/>
                <w:szCs w:val="20"/>
              </w:rPr>
            </w:pPr>
            <w:r>
              <w:rPr>
                <w:rFonts w:cs="Times New Roman"/>
                <w:sz w:val="20"/>
                <w:szCs w:val="20"/>
              </w:rPr>
              <w:t>-2,4</w:t>
            </w:r>
          </w:p>
        </w:tc>
        <w:tc>
          <w:tcPr>
            <w:tcW w:w="1358" w:type="dxa"/>
            <w:tcBorders>
              <w:bottom w:val="single" w:sz="4" w:space="0" w:color="000000"/>
            </w:tcBorders>
            <w:shd w:val="clear" w:color="auto" w:fill="auto"/>
            <w:vAlign w:val="center"/>
          </w:tcPr>
          <w:p w:rsidR="00000000" w:rsidRDefault="00C55CA2">
            <w:pPr>
              <w:pStyle w:val="Contenudetableau"/>
              <w:snapToGrid w:val="0"/>
              <w:spacing w:line="200" w:lineRule="atLeast"/>
              <w:jc w:val="center"/>
              <w:rPr>
                <w:rFonts w:eastAsia="CMR10" w:cs="Times New Roman"/>
                <w:b/>
                <w:bCs/>
                <w:color w:val="000000"/>
                <w:sz w:val="20"/>
                <w:szCs w:val="20"/>
                <w:lang w:eastAsia="en-US" w:bidi="en-US"/>
              </w:rPr>
            </w:pPr>
            <w:r>
              <w:rPr>
                <w:rFonts w:cs="Times New Roman"/>
                <w:sz w:val="20"/>
                <w:szCs w:val="20"/>
              </w:rPr>
              <w:t>No</w:t>
            </w:r>
          </w:p>
        </w:tc>
      </w:tr>
    </w:tbl>
    <w:p w:rsidR="00000000" w:rsidRDefault="00C55CA2">
      <w:pPr>
        <w:widowControl/>
        <w:spacing w:after="57" w:line="200" w:lineRule="atLeast"/>
        <w:jc w:val="both"/>
        <w:rPr>
          <w:rFonts w:cs="Times New Roman"/>
          <w:sz w:val="22"/>
          <w:szCs w:val="22"/>
        </w:rPr>
      </w:pPr>
      <w:r>
        <w:rPr>
          <w:rFonts w:eastAsia="CMR10" w:cs="Times New Roman"/>
          <w:b/>
          <w:bCs/>
          <w:color w:val="000000"/>
          <w:sz w:val="20"/>
          <w:szCs w:val="20"/>
          <w:lang w:eastAsia="en-US" w:bidi="en-US"/>
        </w:rPr>
        <w:t>Source</w:t>
      </w:r>
      <w:r>
        <w:rPr>
          <w:rFonts w:eastAsia="CMR10" w:cs="Times New Roman"/>
          <w:color w:val="000000"/>
          <w:sz w:val="20"/>
          <w:szCs w:val="20"/>
          <w:lang w:eastAsia="en-US" w:bidi="en-US"/>
        </w:rPr>
        <w:t>: Author, ***, **, and * indicate that the statistic is statistically significant at the 1%, 5%, and 10% levels, respectively. The null hypothesis</w:t>
      </w:r>
      <w:r>
        <w:rPr>
          <w:rFonts w:eastAsia="CMR10" w:cs="Times New Roman"/>
          <w:color w:val="000000"/>
          <w:sz w:val="20"/>
          <w:szCs w:val="20"/>
          <w:lang w:eastAsia="en-US" w:bidi="en-US"/>
        </w:rPr>
        <w:t xml:space="preserve"> of Westerlund test is = Non co-integration</w:t>
      </w:r>
    </w:p>
    <w:p w:rsidR="00000000" w:rsidRDefault="00C55CA2">
      <w:pPr>
        <w:widowControl/>
        <w:spacing w:line="200" w:lineRule="atLeast"/>
        <w:ind w:firstLine="283"/>
        <w:jc w:val="both"/>
        <w:rPr>
          <w:rFonts w:cs="Times New Roman"/>
          <w:sz w:val="22"/>
          <w:szCs w:val="22"/>
        </w:rPr>
      </w:pPr>
    </w:p>
    <w:p w:rsidR="00000000" w:rsidRDefault="00C55CA2">
      <w:pPr>
        <w:widowControl/>
        <w:spacing w:line="200" w:lineRule="atLeast"/>
        <w:ind w:firstLine="283"/>
        <w:jc w:val="both"/>
        <w:rPr>
          <w:rFonts w:cs="Times New Roman"/>
          <w:sz w:val="22"/>
          <w:szCs w:val="22"/>
        </w:rPr>
      </w:pPr>
      <w:r>
        <w:rPr>
          <w:rFonts w:cs="Times New Roman"/>
          <w:i/>
          <w:iCs/>
        </w:rPr>
        <w:lastRenderedPageBreak/>
        <w:t>3.3. Estimation Techniques</w:t>
      </w:r>
    </w:p>
    <w:p w:rsidR="00000000" w:rsidRDefault="00C55CA2">
      <w:pPr>
        <w:widowControl/>
        <w:spacing w:line="200" w:lineRule="atLeast"/>
        <w:ind w:firstLine="283"/>
        <w:jc w:val="both"/>
      </w:pPr>
      <w:r>
        <w:rPr>
          <w:rFonts w:cs="Times New Roman"/>
          <w:sz w:val="22"/>
          <w:szCs w:val="22"/>
        </w:rPr>
        <w:t>This feature of the data implies an Error Correction Model Specification in which the short-run dynamics of the variables in the system are influenced by the deviation from equilibrium</w:t>
      </w:r>
      <w:r>
        <w:rPr>
          <w:rFonts w:cs="Times New Roman"/>
          <w:sz w:val="22"/>
          <w:szCs w:val="22"/>
        </w:rPr>
        <w:t>. Thus, the equation (1) is become as follows:</w:t>
      </w:r>
    </w:p>
    <w:tbl>
      <w:tblPr>
        <w:tblW w:w="0" w:type="auto"/>
        <w:tblInd w:w="58" w:type="dxa"/>
        <w:tblLayout w:type="fixed"/>
        <w:tblCellMar>
          <w:top w:w="55" w:type="dxa"/>
          <w:left w:w="55" w:type="dxa"/>
          <w:bottom w:w="55" w:type="dxa"/>
          <w:right w:w="55" w:type="dxa"/>
        </w:tblCellMar>
        <w:tblLook w:val="0000" w:firstRow="0" w:lastRow="0" w:firstColumn="0" w:lastColumn="0" w:noHBand="0" w:noVBand="0"/>
      </w:tblPr>
      <w:tblGrid>
        <w:gridCol w:w="6092"/>
        <w:gridCol w:w="681"/>
      </w:tblGrid>
      <w:tr w:rsidR="00000000">
        <w:tc>
          <w:tcPr>
            <w:tcW w:w="6092" w:type="dxa"/>
            <w:shd w:val="clear" w:color="auto" w:fill="auto"/>
          </w:tcPr>
          <w:p w:rsidR="00000000" w:rsidRDefault="00C55CA2">
            <w:pPr>
              <w:widowControl/>
              <w:spacing w:line="200" w:lineRule="atLeast"/>
              <w:ind w:firstLine="283"/>
              <w:jc w:val="both"/>
              <w:rPr>
                <w:rFonts w:eastAsia="Times New Roman" w:cs="Times New Roman"/>
                <w:color w:val="000000"/>
                <w:lang w:eastAsia="en-US" w:bidi="en-US"/>
              </w:rPr>
            </w:pPr>
            <w:r>
              <w:object w:dxaOrig="4347" w:dyaOrig="302">
                <v:shape id="_x0000_i1026" type="#_x0000_t75" style="width:217.5pt;height:15pt" o:ole="" filled="t">
                  <v:fill color2="black"/>
                  <v:imagedata r:id="rId9" o:title=""/>
                </v:shape>
                <o:OLEObject Type="Embed" ProgID="opendocument.MathDocument.1" ShapeID="_x0000_i1026" DrawAspect="Content" ObjectID="_1543421978" r:id="rId10"/>
              </w:object>
            </w:r>
          </w:p>
        </w:tc>
        <w:tc>
          <w:tcPr>
            <w:tcW w:w="681" w:type="dxa"/>
            <w:shd w:val="clear" w:color="auto" w:fill="auto"/>
          </w:tcPr>
          <w:p w:rsidR="00000000" w:rsidRDefault="00C55CA2">
            <w:pPr>
              <w:widowControl/>
              <w:spacing w:line="200" w:lineRule="atLeast"/>
              <w:jc w:val="right"/>
              <w:rPr>
                <w:rFonts w:eastAsia="Garamond" w:cs="Times New Roman"/>
                <w:color w:val="000000"/>
                <w:sz w:val="22"/>
                <w:szCs w:val="22"/>
              </w:rPr>
            </w:pPr>
            <w:r>
              <w:rPr>
                <w:rFonts w:eastAsia="Times New Roman" w:cs="Times New Roman"/>
                <w:color w:val="000000"/>
                <w:lang w:eastAsia="en-US" w:bidi="en-US"/>
              </w:rPr>
              <w:t> </w:t>
            </w:r>
            <w:r>
              <w:rPr>
                <w:rFonts w:eastAsia="Times New Roman" w:cs="Times New Roman"/>
                <w:color w:val="000000"/>
                <w:lang w:eastAsia="en-US" w:bidi="en-US"/>
              </w:rPr>
              <w:t>(2</w:t>
            </w:r>
            <w:r>
              <w:rPr>
                <w:rFonts w:eastAsia="Times New Roman" w:cs="Times New Roman"/>
                <w:color w:val="000000"/>
                <w:lang w:eastAsia="en-US" w:bidi="en-US"/>
              </w:rPr>
              <w:t>)</w:t>
            </w:r>
          </w:p>
        </w:tc>
      </w:tr>
    </w:tbl>
    <w:p w:rsidR="00000000" w:rsidRDefault="00C55CA2">
      <w:pPr>
        <w:widowControl/>
        <w:spacing w:line="200" w:lineRule="atLeast"/>
        <w:ind w:firstLine="283"/>
        <w:jc w:val="both"/>
        <w:rPr>
          <w:rFonts w:cs="Times New Roman"/>
          <w:sz w:val="22"/>
          <w:szCs w:val="22"/>
        </w:rPr>
      </w:pPr>
      <w:r>
        <w:rPr>
          <w:rFonts w:eastAsia="Garamond" w:cs="Times New Roman"/>
          <w:color w:val="000000"/>
          <w:sz w:val="22"/>
          <w:szCs w:val="22"/>
        </w:rPr>
        <w:t>The parameter γ</w:t>
      </w:r>
      <w:r>
        <w:rPr>
          <w:rFonts w:eastAsia="Garamond" w:cs="Times New Roman"/>
          <w:color w:val="000000"/>
          <w:sz w:val="22"/>
          <w:szCs w:val="22"/>
          <w:vertAlign w:val="subscript"/>
        </w:rPr>
        <w:t>i</w:t>
      </w:r>
      <w:r>
        <w:rPr>
          <w:rFonts w:eastAsia="Garamond" w:cs="Times New Roman"/>
          <w:color w:val="000000"/>
          <w:sz w:val="22"/>
          <w:szCs w:val="22"/>
        </w:rPr>
        <w:t xml:space="preserve"> is the error-correcting speed of adjustment term. If γ</w:t>
      </w:r>
      <w:r>
        <w:rPr>
          <w:rFonts w:eastAsia="Garamond" w:cs="Times New Roman"/>
          <w:color w:val="000000"/>
          <w:sz w:val="22"/>
          <w:szCs w:val="22"/>
          <w:vertAlign w:val="subscript"/>
        </w:rPr>
        <w:t>i</w:t>
      </w:r>
      <w:r>
        <w:rPr>
          <w:rFonts w:eastAsia="Garamond" w:cs="Times New Roman"/>
          <w:color w:val="000000"/>
          <w:sz w:val="22"/>
          <w:szCs w:val="22"/>
        </w:rPr>
        <w:t> = 0, then there would be no evidence for the long-run relationship. This parameter is expe</w:t>
      </w:r>
      <w:r>
        <w:rPr>
          <w:rFonts w:eastAsia="Garamond" w:cs="Times New Roman"/>
          <w:color w:val="000000"/>
          <w:sz w:val="22"/>
          <w:szCs w:val="22"/>
        </w:rPr>
        <w:t>cted to be significantly negative under the prior assumption that the variables show a return to a long-run equilibrium.</w:t>
      </w:r>
    </w:p>
    <w:p w:rsidR="00000000" w:rsidRDefault="00C55CA2">
      <w:pPr>
        <w:widowControl/>
        <w:spacing w:line="200" w:lineRule="atLeast"/>
        <w:ind w:firstLine="283"/>
        <w:jc w:val="both"/>
        <w:rPr>
          <w:rFonts w:cs="Times New Roman"/>
          <w:sz w:val="22"/>
          <w:szCs w:val="22"/>
        </w:rPr>
      </w:pPr>
      <w:r>
        <w:rPr>
          <w:rFonts w:cs="Times New Roman"/>
          <w:sz w:val="22"/>
          <w:szCs w:val="22"/>
        </w:rPr>
        <w:t>The recent literature on dynamic heterogeneous panel estimation, in which both cross-sectional and time dimensions are large, with a co</w:t>
      </w:r>
      <w:r>
        <w:rPr>
          <w:rFonts w:cs="Times New Roman"/>
          <w:sz w:val="22"/>
          <w:szCs w:val="22"/>
        </w:rPr>
        <w:t>-integration mixed of I (0) and I (1) variables, suggests several approaches to estimate equation (2) (See Blackburne and Frank (2007) for more details).</w:t>
      </w:r>
    </w:p>
    <w:p w:rsidR="00000000" w:rsidRDefault="00C55CA2">
      <w:pPr>
        <w:widowControl/>
        <w:spacing w:line="200" w:lineRule="atLeast"/>
        <w:ind w:firstLine="283"/>
        <w:jc w:val="both"/>
        <w:rPr>
          <w:rFonts w:cs="Times New Roman"/>
          <w:sz w:val="22"/>
          <w:szCs w:val="22"/>
        </w:rPr>
      </w:pPr>
      <w:r>
        <w:rPr>
          <w:rFonts w:cs="Times New Roman"/>
          <w:sz w:val="22"/>
          <w:szCs w:val="22"/>
        </w:rPr>
        <w:t>On one extreme, a Dynamic Fixed-Effects (DFE) estimation approach could be used in which the time-seri</w:t>
      </w:r>
      <w:r>
        <w:rPr>
          <w:rFonts w:cs="Times New Roman"/>
          <w:sz w:val="22"/>
          <w:szCs w:val="22"/>
        </w:rPr>
        <w:t>es data for each country are pooled and only the intercepts are allowed to differ across countries. If the slope coefficients are in fact not identical, however, the DFE approach produces inconsistent and potentially misleading results. On the other extrem</w:t>
      </w:r>
      <w:r>
        <w:rPr>
          <w:rFonts w:cs="Times New Roman"/>
          <w:sz w:val="22"/>
          <w:szCs w:val="22"/>
        </w:rPr>
        <w:t>e, the model could be fitted separately for each country, and a simple arithmetic average of the coefficients could be calculated. This is the Mean Group (MG), estimator proposed by Pesaran and Smith (1995). With this estimator, the intercepts, slope coeff</w:t>
      </w:r>
      <w:r>
        <w:rPr>
          <w:rFonts w:cs="Times New Roman"/>
          <w:sz w:val="22"/>
          <w:szCs w:val="22"/>
        </w:rPr>
        <w:t>icients, and error variances are all allowed to differ across country.</w:t>
      </w:r>
    </w:p>
    <w:p w:rsidR="00000000" w:rsidRDefault="00C55CA2">
      <w:pPr>
        <w:widowControl/>
        <w:spacing w:line="200" w:lineRule="atLeast"/>
        <w:ind w:firstLine="283"/>
        <w:jc w:val="both"/>
        <w:rPr>
          <w:rFonts w:cs="Times New Roman"/>
          <w:sz w:val="22"/>
          <w:szCs w:val="22"/>
        </w:rPr>
      </w:pPr>
      <w:r>
        <w:rPr>
          <w:rFonts w:cs="Times New Roman"/>
          <w:sz w:val="22"/>
          <w:szCs w:val="22"/>
        </w:rPr>
        <w:t>Pesaran, Shin, and Smith (1997, 1999) have proposed a Pooled Mean Group (PMG) estimator that combines both pooling and averaging. This intermediate estimator allows the intercept, short</w:t>
      </w:r>
      <w:r>
        <w:rPr>
          <w:rFonts w:cs="Times New Roman"/>
          <w:sz w:val="22"/>
          <w:szCs w:val="22"/>
        </w:rPr>
        <w:t>-run coefficients, and error variances to differ across the countries (as would the MG estimator) but constrains the long-run coefficients to be equal across countries (as would the DFE estimator).</w:t>
      </w:r>
    </w:p>
    <w:p w:rsidR="00000000" w:rsidRDefault="00C55CA2">
      <w:pPr>
        <w:widowControl/>
        <w:spacing w:line="200" w:lineRule="atLeast"/>
        <w:ind w:firstLine="283"/>
        <w:jc w:val="both"/>
        <w:rPr>
          <w:rFonts w:cs="Times New Roman"/>
          <w:sz w:val="22"/>
          <w:szCs w:val="22"/>
        </w:rPr>
      </w:pPr>
      <w:r>
        <w:rPr>
          <w:rFonts w:cs="Times New Roman"/>
          <w:sz w:val="22"/>
          <w:szCs w:val="22"/>
        </w:rPr>
        <w:t xml:space="preserve">More recently, Pesaran, Shin, and Smith (1997, 1999) have </w:t>
      </w:r>
      <w:r>
        <w:rPr>
          <w:rFonts w:cs="Times New Roman"/>
          <w:sz w:val="22"/>
          <w:szCs w:val="22"/>
        </w:rPr>
        <w:t>proposed a Pooled Mean Group (PMG) estimator that combines both pooling and averaging. This intermediate estimator allows the intercept, short-run coefficients, and error variances to differ across the countries (as would the MG estimator) but constrains t</w:t>
      </w:r>
      <w:r>
        <w:rPr>
          <w:rFonts w:cs="Times New Roman"/>
          <w:sz w:val="22"/>
          <w:szCs w:val="22"/>
        </w:rPr>
        <w:t>he long-run coefficients to be equal across countries (as would the DFE estimator). Hausman specification test is performed to obtain the estimator that is efficient and consistent according to the data feature.</w:t>
      </w:r>
    </w:p>
    <w:p w:rsidR="00000000" w:rsidRDefault="00C55CA2">
      <w:pPr>
        <w:widowControl/>
        <w:spacing w:line="200" w:lineRule="atLeast"/>
        <w:ind w:firstLine="283"/>
        <w:jc w:val="both"/>
        <w:rPr>
          <w:rFonts w:cs="Times New Roman"/>
          <w:sz w:val="22"/>
          <w:szCs w:val="22"/>
        </w:rPr>
      </w:pPr>
    </w:p>
    <w:p w:rsidR="00000000" w:rsidRDefault="00C55CA2">
      <w:pPr>
        <w:widowControl/>
        <w:spacing w:line="200" w:lineRule="atLeast"/>
        <w:ind w:firstLine="283"/>
        <w:jc w:val="both"/>
        <w:rPr>
          <w:rFonts w:cs="Times New Roman"/>
          <w:sz w:val="22"/>
          <w:szCs w:val="22"/>
        </w:rPr>
      </w:pPr>
      <w:r>
        <w:rPr>
          <w:rFonts w:cs="Times New Roman"/>
          <w:b/>
          <w:bCs/>
          <w:color w:val="000000"/>
          <w:sz w:val="28"/>
          <w:szCs w:val="28"/>
          <w:lang w:eastAsia="en-US" w:bidi="en-US"/>
        </w:rPr>
        <w:t xml:space="preserve">4. </w:t>
      </w:r>
      <w:r>
        <w:rPr>
          <w:rFonts w:eastAsia="Times New Roman" w:cs="Times New Roman"/>
          <w:b/>
          <w:bCs/>
          <w:color w:val="000000"/>
          <w:sz w:val="28"/>
          <w:szCs w:val="28"/>
          <w:lang w:eastAsia="en-US" w:bidi="en-US"/>
        </w:rPr>
        <w:t>Results, Analysis and Discussion</w:t>
      </w:r>
    </w:p>
    <w:p w:rsidR="00000000" w:rsidRDefault="00C55CA2">
      <w:pPr>
        <w:widowControl/>
        <w:spacing w:line="200" w:lineRule="atLeast"/>
        <w:ind w:firstLine="283"/>
        <w:jc w:val="both"/>
        <w:rPr>
          <w:rFonts w:cs="Times New Roman"/>
          <w:sz w:val="22"/>
          <w:szCs w:val="22"/>
        </w:rPr>
      </w:pPr>
      <w:r>
        <w:rPr>
          <w:rFonts w:cs="Times New Roman"/>
          <w:sz w:val="22"/>
          <w:szCs w:val="22"/>
        </w:rPr>
        <w:t>Results</w:t>
      </w:r>
      <w:r>
        <w:rPr>
          <w:rFonts w:cs="Times New Roman"/>
          <w:sz w:val="22"/>
          <w:szCs w:val="22"/>
        </w:rPr>
        <w:t xml:space="preserve"> show that the Pooled Mean Group estimator, the efficient estimator under the null hypothesis, is preferred to Mean Group estimator. The calculated Hausman statistic is 3.69 and is distributed Chi2. But it's also confirm that the Dynamic Fixed-Effects esti</w:t>
      </w:r>
      <w:r>
        <w:rPr>
          <w:rFonts w:cs="Times New Roman"/>
          <w:sz w:val="22"/>
          <w:szCs w:val="22"/>
        </w:rPr>
        <w:t>mator is more efficient and consistent than the Pooled Mean Group estimator, according to Hausman test, checking for endogeneity between the error term and the lagged dependent variable. The calculated Hausman statistic is 4,339.76 with a corresponding p-v</w:t>
      </w:r>
      <w:r>
        <w:rPr>
          <w:rFonts w:cs="Times New Roman"/>
          <w:sz w:val="22"/>
          <w:szCs w:val="22"/>
        </w:rPr>
        <w:t xml:space="preserve">alue of zero (Table 3). In addition, residuals of the models are checked and </w:t>
      </w:r>
      <w:r>
        <w:rPr>
          <w:rFonts w:cs="Times New Roman"/>
          <w:sz w:val="22"/>
          <w:szCs w:val="22"/>
        </w:rPr>
        <w:lastRenderedPageBreak/>
        <w:t>the skewness and kurtosis suggest normally distributed residuals, implying the robustness of models.</w:t>
      </w:r>
    </w:p>
    <w:p w:rsidR="00000000" w:rsidRDefault="00C55CA2">
      <w:pPr>
        <w:widowControl/>
        <w:spacing w:line="200" w:lineRule="atLeast"/>
        <w:jc w:val="both"/>
        <w:rPr>
          <w:rFonts w:cs="Times New Roman"/>
          <w:sz w:val="22"/>
          <w:szCs w:val="22"/>
        </w:rPr>
      </w:pPr>
    </w:p>
    <w:p w:rsidR="00000000" w:rsidRDefault="00C55CA2">
      <w:pPr>
        <w:spacing w:before="113" w:after="113" w:line="200" w:lineRule="atLeast"/>
      </w:pPr>
      <w:r>
        <w:rPr>
          <w:rFonts w:eastAsia="Garamond" w:cs="Times New Roman"/>
          <w:b/>
          <w:bCs/>
          <w:color w:val="000000"/>
          <w:sz w:val="20"/>
          <w:szCs w:val="20"/>
        </w:rPr>
        <w:t>TABLE 3</w:t>
      </w:r>
      <w:r>
        <w:rPr>
          <w:rFonts w:eastAsia="Garamond" w:cs="Times New Roman"/>
          <w:color w:val="000000"/>
          <w:sz w:val="20"/>
          <w:szCs w:val="20"/>
        </w:rPr>
        <w:t xml:space="preserve">: </w:t>
      </w:r>
      <w:r>
        <w:rPr>
          <w:rFonts w:eastAsia="Garamond" w:cs="Times New Roman"/>
          <w:i/>
          <w:iCs/>
          <w:color w:val="000000"/>
          <w:sz w:val="20"/>
          <w:szCs w:val="20"/>
        </w:rPr>
        <w:t>Hausman's Models Specification Tests, Optimal Estimator</w:t>
      </w:r>
    </w:p>
    <w:tbl>
      <w:tblPr>
        <w:tblW w:w="0" w:type="auto"/>
        <w:tblInd w:w="54" w:type="dxa"/>
        <w:tblLayout w:type="fixed"/>
        <w:tblCellMar>
          <w:top w:w="55" w:type="dxa"/>
          <w:left w:w="55" w:type="dxa"/>
          <w:bottom w:w="55" w:type="dxa"/>
          <w:right w:w="55" w:type="dxa"/>
        </w:tblCellMar>
        <w:tblLook w:val="0000" w:firstRow="0" w:lastRow="0" w:firstColumn="0" w:lastColumn="0" w:noHBand="0" w:noVBand="0"/>
      </w:tblPr>
      <w:tblGrid>
        <w:gridCol w:w="1812"/>
        <w:gridCol w:w="2492"/>
        <w:gridCol w:w="2501"/>
      </w:tblGrid>
      <w:tr w:rsidR="00000000">
        <w:trPr>
          <w:trHeight w:val="23"/>
        </w:trPr>
        <w:tc>
          <w:tcPr>
            <w:tcW w:w="1812" w:type="dxa"/>
            <w:tcBorders>
              <w:top w:val="single" w:sz="1" w:space="0" w:color="000000"/>
              <w:bottom w:val="single" w:sz="1" w:space="0" w:color="000000"/>
            </w:tcBorders>
            <w:shd w:val="clear" w:color="auto" w:fill="auto"/>
            <w:vAlign w:val="center"/>
          </w:tcPr>
          <w:p w:rsidR="00000000" w:rsidRDefault="00C55CA2">
            <w:pPr>
              <w:snapToGrid w:val="0"/>
              <w:spacing w:before="113" w:after="113" w:line="200" w:lineRule="atLeast"/>
            </w:pPr>
          </w:p>
        </w:tc>
        <w:tc>
          <w:tcPr>
            <w:tcW w:w="2492" w:type="dxa"/>
            <w:tcBorders>
              <w:top w:val="single" w:sz="1" w:space="0" w:color="000000"/>
              <w:bottom w:val="single" w:sz="1" w:space="0" w:color="000000"/>
            </w:tcBorders>
            <w:shd w:val="clear" w:color="auto" w:fill="auto"/>
            <w:vAlign w:val="center"/>
          </w:tcPr>
          <w:p w:rsidR="00000000" w:rsidRDefault="00C55CA2">
            <w:pPr>
              <w:spacing w:before="113" w:after="113" w:line="200" w:lineRule="atLeast"/>
              <w:jc w:val="center"/>
              <w:rPr>
                <w:rFonts w:eastAsia="Garamond" w:cs="Times New Roman"/>
                <w:b/>
                <w:bCs/>
                <w:color w:val="000000"/>
                <w:sz w:val="20"/>
                <w:szCs w:val="20"/>
              </w:rPr>
            </w:pPr>
            <w:r>
              <w:rPr>
                <w:rFonts w:eastAsia="Garamond" w:cs="Times New Roman"/>
                <w:b/>
                <w:bCs/>
                <w:color w:val="000000"/>
                <w:sz w:val="20"/>
                <w:szCs w:val="20"/>
              </w:rPr>
              <w:t>MG vs PMG</w:t>
            </w:r>
          </w:p>
        </w:tc>
        <w:tc>
          <w:tcPr>
            <w:tcW w:w="2501" w:type="dxa"/>
            <w:tcBorders>
              <w:top w:val="single" w:sz="1" w:space="0" w:color="000000"/>
              <w:bottom w:val="single" w:sz="1" w:space="0" w:color="000000"/>
            </w:tcBorders>
            <w:shd w:val="clear" w:color="auto" w:fill="auto"/>
            <w:vAlign w:val="center"/>
          </w:tcPr>
          <w:p w:rsidR="00000000" w:rsidRDefault="00C55CA2">
            <w:pPr>
              <w:spacing w:before="113" w:after="113" w:line="200" w:lineRule="atLeast"/>
              <w:jc w:val="center"/>
              <w:rPr>
                <w:rFonts w:eastAsia="Garamond" w:cs="Times New Roman"/>
                <w:b/>
                <w:bCs/>
                <w:color w:val="000000"/>
                <w:sz w:val="20"/>
                <w:szCs w:val="20"/>
              </w:rPr>
            </w:pPr>
            <w:r>
              <w:rPr>
                <w:rFonts w:eastAsia="Garamond" w:cs="Times New Roman"/>
                <w:b/>
                <w:bCs/>
                <w:color w:val="000000"/>
                <w:sz w:val="20"/>
                <w:szCs w:val="20"/>
              </w:rPr>
              <w:t>D</w:t>
            </w:r>
            <w:r>
              <w:rPr>
                <w:rFonts w:eastAsia="Garamond" w:cs="Times New Roman"/>
                <w:b/>
                <w:bCs/>
                <w:color w:val="000000"/>
                <w:sz w:val="20"/>
                <w:szCs w:val="20"/>
              </w:rPr>
              <w:t>FE vs PMG</w:t>
            </w:r>
          </w:p>
        </w:tc>
      </w:tr>
      <w:tr w:rsidR="00000000">
        <w:trPr>
          <w:trHeight w:val="23"/>
        </w:trPr>
        <w:tc>
          <w:tcPr>
            <w:tcW w:w="1812" w:type="dxa"/>
            <w:shd w:val="clear" w:color="auto" w:fill="auto"/>
          </w:tcPr>
          <w:p w:rsidR="00000000" w:rsidRDefault="00C55CA2">
            <w:pPr>
              <w:spacing w:before="113" w:after="113" w:line="200" w:lineRule="atLeast"/>
              <w:rPr>
                <w:rFonts w:eastAsia="Garamond" w:cs="Times New Roman"/>
                <w:color w:val="000000"/>
                <w:sz w:val="20"/>
                <w:szCs w:val="20"/>
              </w:rPr>
            </w:pPr>
            <w:r>
              <w:rPr>
                <w:rFonts w:eastAsia="Garamond" w:cs="Times New Roman"/>
                <w:b/>
                <w:bCs/>
                <w:color w:val="000000"/>
                <w:sz w:val="20"/>
                <w:szCs w:val="20"/>
              </w:rPr>
              <w:t>Chi2 Statistic</w:t>
            </w:r>
          </w:p>
        </w:tc>
        <w:tc>
          <w:tcPr>
            <w:tcW w:w="2492" w:type="dxa"/>
            <w:shd w:val="clear" w:color="auto" w:fill="auto"/>
          </w:tcPr>
          <w:p w:rsidR="00000000" w:rsidRDefault="00C55CA2">
            <w:pPr>
              <w:spacing w:before="113" w:after="113" w:line="200" w:lineRule="atLeast"/>
              <w:jc w:val="center"/>
              <w:rPr>
                <w:rFonts w:eastAsia="Garamond" w:cs="Times New Roman"/>
                <w:color w:val="000000"/>
                <w:sz w:val="20"/>
                <w:szCs w:val="20"/>
              </w:rPr>
            </w:pPr>
            <w:r>
              <w:rPr>
                <w:rFonts w:eastAsia="Garamond" w:cs="Times New Roman"/>
                <w:color w:val="000000"/>
                <w:sz w:val="20"/>
                <w:szCs w:val="20"/>
              </w:rPr>
              <w:t> </w:t>
            </w:r>
            <w:r>
              <w:rPr>
                <w:rFonts w:eastAsia="Garamond" w:cs="Times New Roman"/>
                <w:color w:val="000000"/>
                <w:sz w:val="20"/>
                <w:szCs w:val="20"/>
              </w:rPr>
              <w:t>3.69</w:t>
            </w:r>
          </w:p>
        </w:tc>
        <w:tc>
          <w:tcPr>
            <w:tcW w:w="2501" w:type="dxa"/>
            <w:shd w:val="clear" w:color="auto" w:fill="auto"/>
            <w:vAlign w:val="center"/>
          </w:tcPr>
          <w:p w:rsidR="00000000" w:rsidRDefault="00C55CA2">
            <w:pPr>
              <w:spacing w:before="113" w:after="113" w:line="200" w:lineRule="atLeast"/>
              <w:jc w:val="center"/>
              <w:rPr>
                <w:rFonts w:eastAsia="Garamond" w:cs="Times New Roman"/>
                <w:b/>
                <w:bCs/>
                <w:color w:val="000000"/>
                <w:sz w:val="20"/>
                <w:szCs w:val="20"/>
              </w:rPr>
            </w:pPr>
            <w:r>
              <w:rPr>
                <w:rFonts w:eastAsia="Garamond" w:cs="Times New Roman"/>
                <w:color w:val="000000"/>
                <w:sz w:val="20"/>
                <w:szCs w:val="20"/>
              </w:rPr>
              <w:t>4,339.76***</w:t>
            </w:r>
          </w:p>
        </w:tc>
      </w:tr>
      <w:tr w:rsidR="00000000">
        <w:trPr>
          <w:trHeight w:val="23"/>
        </w:trPr>
        <w:tc>
          <w:tcPr>
            <w:tcW w:w="1812" w:type="dxa"/>
            <w:tcBorders>
              <w:bottom w:val="single" w:sz="1" w:space="0" w:color="000000"/>
            </w:tcBorders>
            <w:shd w:val="clear" w:color="auto" w:fill="auto"/>
            <w:vAlign w:val="center"/>
          </w:tcPr>
          <w:p w:rsidR="00000000" w:rsidRDefault="00C55CA2">
            <w:pPr>
              <w:spacing w:before="113" w:after="113" w:line="200" w:lineRule="atLeast"/>
              <w:rPr>
                <w:rFonts w:eastAsia="Garamond" w:cs="Times New Roman"/>
                <w:color w:val="000000"/>
                <w:sz w:val="20"/>
                <w:szCs w:val="20"/>
              </w:rPr>
            </w:pPr>
            <w:r>
              <w:rPr>
                <w:rFonts w:eastAsia="Garamond" w:cs="Times New Roman"/>
                <w:b/>
                <w:bCs/>
                <w:color w:val="000000"/>
                <w:sz w:val="20"/>
                <w:szCs w:val="20"/>
              </w:rPr>
              <w:t>P-value</w:t>
            </w:r>
          </w:p>
        </w:tc>
        <w:tc>
          <w:tcPr>
            <w:tcW w:w="2492" w:type="dxa"/>
            <w:tcBorders>
              <w:bottom w:val="single" w:sz="1" w:space="0" w:color="000000"/>
            </w:tcBorders>
            <w:shd w:val="clear" w:color="auto" w:fill="auto"/>
            <w:vAlign w:val="center"/>
          </w:tcPr>
          <w:p w:rsidR="00000000" w:rsidRDefault="00C55CA2">
            <w:pPr>
              <w:spacing w:before="113" w:after="113" w:line="200" w:lineRule="atLeast"/>
              <w:jc w:val="center"/>
              <w:rPr>
                <w:rFonts w:eastAsia="Garamond" w:cs="Times New Roman"/>
                <w:color w:val="000000"/>
                <w:sz w:val="20"/>
                <w:szCs w:val="20"/>
              </w:rPr>
            </w:pPr>
            <w:r>
              <w:rPr>
                <w:rFonts w:eastAsia="Garamond" w:cs="Times New Roman"/>
                <w:color w:val="000000"/>
                <w:sz w:val="20"/>
                <w:szCs w:val="20"/>
              </w:rPr>
              <w:t>0.30</w:t>
            </w:r>
          </w:p>
        </w:tc>
        <w:tc>
          <w:tcPr>
            <w:tcW w:w="2501" w:type="dxa"/>
            <w:tcBorders>
              <w:bottom w:val="single" w:sz="1" w:space="0" w:color="000000"/>
            </w:tcBorders>
            <w:shd w:val="clear" w:color="auto" w:fill="auto"/>
          </w:tcPr>
          <w:p w:rsidR="00000000" w:rsidRDefault="00C55CA2">
            <w:pPr>
              <w:spacing w:before="113" w:after="113" w:line="200" w:lineRule="atLeast"/>
              <w:jc w:val="center"/>
              <w:rPr>
                <w:rFonts w:cs="Times New Roman"/>
                <w:b/>
                <w:bCs/>
                <w:sz w:val="20"/>
                <w:szCs w:val="20"/>
              </w:rPr>
            </w:pPr>
            <w:r>
              <w:rPr>
                <w:rFonts w:eastAsia="Garamond" w:cs="Times New Roman"/>
                <w:color w:val="000000"/>
                <w:sz w:val="20"/>
                <w:szCs w:val="20"/>
              </w:rPr>
              <w:t>0.00</w:t>
            </w:r>
          </w:p>
        </w:tc>
      </w:tr>
    </w:tbl>
    <w:p w:rsidR="00000000" w:rsidRDefault="00C55CA2">
      <w:pPr>
        <w:widowControl/>
        <w:spacing w:after="57" w:line="200" w:lineRule="atLeast"/>
        <w:jc w:val="both"/>
      </w:pPr>
      <w:r>
        <w:rPr>
          <w:rFonts w:cs="Times New Roman"/>
          <w:b/>
          <w:bCs/>
          <w:sz w:val="20"/>
          <w:szCs w:val="20"/>
        </w:rPr>
        <w:t>Source</w:t>
      </w:r>
      <w:r>
        <w:rPr>
          <w:rFonts w:cs="Times New Roman"/>
          <w:sz w:val="20"/>
          <w:szCs w:val="20"/>
        </w:rPr>
        <w:t xml:space="preserve">: </w:t>
      </w:r>
      <w:r>
        <w:rPr>
          <w:rFonts w:cs="Times New Roman"/>
          <w:sz w:val="20"/>
          <w:szCs w:val="20"/>
          <w:lang w:eastAsia="en-US" w:bidi="en-US"/>
        </w:rPr>
        <w:t>Author</w:t>
      </w:r>
      <w:r>
        <w:rPr>
          <w:rFonts w:cs="Times New Roman"/>
          <w:sz w:val="20"/>
          <w:szCs w:val="20"/>
          <w:lang w:eastAsia="en-US" w:bidi="en-US"/>
        </w:rPr>
        <w:t xml:space="preserve">, </w:t>
      </w:r>
      <w:r>
        <w:rPr>
          <w:rFonts w:cs="Times New Roman"/>
          <w:sz w:val="20"/>
          <w:szCs w:val="20"/>
        </w:rPr>
        <w:t>***, **, and * indicate that the statistic is statistically significant at the 1%, 5%, and 10% levels, respectively</w:t>
      </w:r>
    </w:p>
    <w:p w:rsidR="00000000" w:rsidRDefault="00C55CA2">
      <w:pPr>
        <w:widowControl/>
        <w:spacing w:after="57" w:line="200" w:lineRule="atLeast"/>
        <w:jc w:val="both"/>
      </w:pPr>
    </w:p>
    <w:p w:rsidR="00000000" w:rsidRDefault="00C55CA2">
      <w:pPr>
        <w:widowControl/>
        <w:spacing w:line="200" w:lineRule="atLeast"/>
        <w:ind w:firstLine="283"/>
        <w:jc w:val="both"/>
        <w:rPr>
          <w:rFonts w:cs="Times New Roman"/>
          <w:sz w:val="22"/>
          <w:szCs w:val="22"/>
        </w:rPr>
      </w:pPr>
      <w:r>
        <w:rPr>
          <w:rFonts w:cs="Times New Roman"/>
          <w:sz w:val="22"/>
          <w:szCs w:val="22"/>
        </w:rPr>
        <w:t>Moreover, the error correction term, the adjustment coeffic</w:t>
      </w:r>
      <w:r>
        <w:rPr>
          <w:rFonts w:cs="Times New Roman"/>
          <w:sz w:val="22"/>
          <w:szCs w:val="22"/>
        </w:rPr>
        <w:t>ient, has a negative and statistically significant value (-0.60). This infers that, the model is dynamically stable, and private investment in the WAEMU adjusts fast to equilibrium levels in the current period, from a disequilibrium experienced in the earl</w:t>
      </w:r>
      <w:r>
        <w:rPr>
          <w:rFonts w:cs="Times New Roman"/>
          <w:sz w:val="22"/>
          <w:szCs w:val="22"/>
        </w:rPr>
        <w:t>ier period after a shock to any of its determinants. Furthermore, the significant coefficients do not change when we remove certain candidate variables, confirming the robustness of the model taking to account omitted variables bias problem.</w:t>
      </w:r>
    </w:p>
    <w:p w:rsidR="00000000" w:rsidRDefault="00C55CA2">
      <w:pPr>
        <w:widowControl/>
        <w:spacing w:line="200" w:lineRule="atLeast"/>
        <w:ind w:firstLine="283"/>
        <w:jc w:val="both"/>
        <w:rPr>
          <w:rFonts w:cs="Times New Roman"/>
          <w:sz w:val="22"/>
          <w:szCs w:val="22"/>
        </w:rPr>
      </w:pPr>
      <w:r>
        <w:rPr>
          <w:rFonts w:cs="Times New Roman"/>
          <w:sz w:val="22"/>
          <w:szCs w:val="22"/>
        </w:rPr>
        <w:t>The Dynamic Fi</w:t>
      </w:r>
      <w:r>
        <w:rPr>
          <w:rFonts w:cs="Times New Roman"/>
          <w:sz w:val="22"/>
          <w:szCs w:val="22"/>
        </w:rPr>
        <w:t>xed-Effects results (Table 4, short-run, and Table 5, long-run) suggest that, in the short-run, private investment in the WAEMU zone is determined by the aggregate demand conditions: gross domestic product and output gap, while, in the long-run, it is dete</w:t>
      </w:r>
      <w:r>
        <w:rPr>
          <w:rFonts w:cs="Times New Roman"/>
          <w:sz w:val="22"/>
          <w:szCs w:val="22"/>
        </w:rPr>
        <w:t>rmined by public investment, gross domestic product, and political stability.</w:t>
      </w:r>
    </w:p>
    <w:p w:rsidR="00000000" w:rsidRDefault="00C55CA2">
      <w:pPr>
        <w:widowControl/>
        <w:spacing w:line="200" w:lineRule="atLeast"/>
        <w:ind w:firstLine="283"/>
        <w:jc w:val="both"/>
        <w:rPr>
          <w:rFonts w:cs="Times New Roman"/>
          <w:sz w:val="22"/>
          <w:szCs w:val="22"/>
        </w:rPr>
      </w:pPr>
      <w:r>
        <w:rPr>
          <w:rFonts w:cs="Times New Roman"/>
          <w:sz w:val="22"/>
          <w:szCs w:val="22"/>
        </w:rPr>
        <w:t>The short-run elasticity of gross domestic product and output gap are statistically significant and average to 5.7 and 0.06, respectively. These finds imply that a one percentage</w:t>
      </w:r>
      <w:r>
        <w:rPr>
          <w:rFonts w:cs="Times New Roman"/>
          <w:sz w:val="22"/>
          <w:szCs w:val="22"/>
        </w:rPr>
        <w:t xml:space="preserve"> point increase in gross domestic product may rise in overall 5.7 percentages points of private investment in the short-run. Furthermore, in the short-run, private investment evolves in the same direction of the business cycle with 0.06 elasticity. For exa</w:t>
      </w:r>
      <w:r>
        <w:rPr>
          <w:rFonts w:cs="Times New Roman"/>
          <w:sz w:val="22"/>
          <w:szCs w:val="22"/>
        </w:rPr>
        <w:t>mple, if the output gap falls of 10 percentages points, private investment decreases by 0.6 percentage point. These results confirmed the theoretical models, in particular the accelerator principle, an idea suggests that aggregate net investment by firms i</w:t>
      </w:r>
      <w:r>
        <w:rPr>
          <w:rFonts w:cs="Times New Roman"/>
          <w:sz w:val="22"/>
          <w:szCs w:val="22"/>
        </w:rPr>
        <w:t>s dependent on firms expectations about changes in outputs.</w:t>
      </w:r>
    </w:p>
    <w:p w:rsidR="00000000" w:rsidRDefault="00C55CA2">
      <w:pPr>
        <w:widowControl/>
        <w:spacing w:line="200" w:lineRule="atLeast"/>
        <w:ind w:firstLine="283"/>
        <w:jc w:val="both"/>
        <w:rPr>
          <w:rFonts w:cs="Times New Roman"/>
          <w:sz w:val="22"/>
          <w:szCs w:val="22"/>
        </w:rPr>
      </w:pPr>
      <w:r>
        <w:rPr>
          <w:rFonts w:cs="Times New Roman"/>
          <w:sz w:val="22"/>
          <w:szCs w:val="22"/>
        </w:rPr>
        <w:t xml:space="preserve">The long-run elasticity of gross domestic product and public investment are statistically significant and average to 2.4 and -0.16, respectively, and the semi-elasticity of political stability is </w:t>
      </w:r>
      <w:r>
        <w:rPr>
          <w:rFonts w:cs="Times New Roman"/>
          <w:sz w:val="22"/>
          <w:szCs w:val="22"/>
        </w:rPr>
        <w:t>-0.25. The statistical significant of gross domestic product and political stability coefficients do not change when we remove certain candidate variables, confirming the robustness of their effects, while public investment losses it significance. These re</w:t>
      </w:r>
      <w:r>
        <w:rPr>
          <w:rFonts w:cs="Times New Roman"/>
          <w:sz w:val="22"/>
          <w:szCs w:val="22"/>
        </w:rPr>
        <w:t xml:space="preserve">sults show that a one percentage point increase in gross domestic product may rise in overall 2.4 percentages points of private investment in the long-run. Moreover, when the economies of the WAEMU zone make an effort of 10 units raking to stabilize </w:t>
      </w:r>
      <w:r>
        <w:rPr>
          <w:rFonts w:cs="Times New Roman"/>
          <w:sz w:val="22"/>
          <w:szCs w:val="22"/>
        </w:rPr>
        <w:lastRenderedPageBreak/>
        <w:t xml:space="preserve">their </w:t>
      </w:r>
      <w:r>
        <w:rPr>
          <w:rFonts w:cs="Times New Roman"/>
          <w:sz w:val="22"/>
          <w:szCs w:val="22"/>
        </w:rPr>
        <w:t>political framework, it promotes private investment about 2.5 percentages points.</w:t>
      </w:r>
    </w:p>
    <w:p w:rsidR="00000000" w:rsidRDefault="00C55CA2">
      <w:pPr>
        <w:widowControl/>
        <w:spacing w:line="200" w:lineRule="atLeast"/>
        <w:ind w:firstLine="283"/>
        <w:jc w:val="both"/>
        <w:rPr>
          <w:rFonts w:cs="Times New Roman"/>
          <w:sz w:val="22"/>
          <w:szCs w:val="22"/>
        </w:rPr>
      </w:pPr>
      <w:r>
        <w:rPr>
          <w:rFonts w:cs="Times New Roman"/>
          <w:sz w:val="22"/>
          <w:szCs w:val="22"/>
        </w:rPr>
        <w:t>These finds are consistent with the theoretical predictions of the long-run relationship between private investment and output and political stability. But theoretical models</w:t>
      </w:r>
      <w:r>
        <w:rPr>
          <w:rFonts w:cs="Times New Roman"/>
          <w:sz w:val="22"/>
          <w:szCs w:val="22"/>
        </w:rPr>
        <w:t xml:space="preserve"> suggest that public investment may be negatively affected private investment because it increases the opportunity cost of borrowing money through interest rates rising, the so-called “crowd out effect”. However, the empirical work undertakes by Keho (2016</w:t>
      </w:r>
      <w:r>
        <w:rPr>
          <w:rFonts w:cs="Times New Roman"/>
          <w:sz w:val="22"/>
          <w:szCs w:val="22"/>
        </w:rPr>
        <w:t>) suggests that public deficits do not affected private consumption in the WAEMU region during 1970 to 2013.</w:t>
      </w:r>
    </w:p>
    <w:p w:rsidR="00000000" w:rsidRDefault="00C55CA2">
      <w:pPr>
        <w:widowControl/>
        <w:spacing w:line="200" w:lineRule="atLeast"/>
        <w:ind w:firstLine="283"/>
        <w:jc w:val="both"/>
        <w:rPr>
          <w:rFonts w:eastAsia="Garamond" w:cs="Times New Roman"/>
          <w:color w:val="000000"/>
          <w:sz w:val="22"/>
          <w:szCs w:val="22"/>
          <w:lang w:eastAsia="en-US" w:bidi="en-US"/>
        </w:rPr>
      </w:pPr>
      <w:r>
        <w:rPr>
          <w:rFonts w:cs="Times New Roman"/>
          <w:sz w:val="22"/>
          <w:szCs w:val="22"/>
        </w:rPr>
        <w:t>The results also show, however, that there is no statistical evidence, both in short-run and long-run, impact of inflation, terms of trade, real in</w:t>
      </w:r>
      <w:r>
        <w:rPr>
          <w:rFonts w:cs="Times New Roman"/>
          <w:sz w:val="22"/>
          <w:szCs w:val="22"/>
        </w:rPr>
        <w:t>terest rate, and degree of openness to international trade in the WAEMU region from 1995 to 2014.</w:t>
      </w:r>
    </w:p>
    <w:p w:rsidR="00000000" w:rsidRDefault="00C55CA2">
      <w:pPr>
        <w:widowControl/>
        <w:spacing w:line="200" w:lineRule="atLeast"/>
        <w:ind w:firstLine="283"/>
        <w:jc w:val="both"/>
        <w:rPr>
          <w:rFonts w:eastAsia="Garamond" w:cs="Times New Roman"/>
          <w:color w:val="000000"/>
          <w:sz w:val="22"/>
          <w:szCs w:val="22"/>
          <w:lang w:eastAsia="en-US" w:bidi="en-US"/>
        </w:rPr>
      </w:pPr>
    </w:p>
    <w:p w:rsidR="00000000" w:rsidRDefault="00C55CA2">
      <w:pPr>
        <w:spacing w:after="80" w:line="240" w:lineRule="exact"/>
        <w:rPr>
          <w:rFonts w:cs="Times New Roman"/>
          <w:b/>
          <w:bCs/>
          <w:sz w:val="20"/>
          <w:szCs w:val="20"/>
        </w:rPr>
      </w:pPr>
      <w:r>
        <w:rPr>
          <w:rFonts w:eastAsia="CMR10" w:cs="Times New Roman"/>
          <w:b/>
          <w:bCs/>
          <w:color w:val="000000"/>
          <w:sz w:val="20"/>
          <w:szCs w:val="20"/>
        </w:rPr>
        <w:t>TABLE 4</w:t>
      </w:r>
      <w:r>
        <w:rPr>
          <w:rFonts w:eastAsia="CMR10" w:cs="Times New Roman"/>
          <w:color w:val="000000"/>
          <w:sz w:val="20"/>
          <w:szCs w:val="20"/>
        </w:rPr>
        <w:t xml:space="preserve">. </w:t>
      </w:r>
      <w:r>
        <w:rPr>
          <w:rFonts w:eastAsia="CMR10" w:cs="Times New Roman"/>
          <w:i/>
          <w:iCs/>
          <w:color w:val="000000"/>
          <w:sz w:val="20"/>
          <w:szCs w:val="20"/>
        </w:rPr>
        <w:t>Short-Run Dynamic Fixed-Effects Estimation of the Private Investment</w:t>
      </w:r>
    </w:p>
    <w:tbl>
      <w:tblPr>
        <w:tblW w:w="0" w:type="auto"/>
        <w:tblInd w:w="69" w:type="dxa"/>
        <w:tblLayout w:type="fixed"/>
        <w:tblCellMar>
          <w:top w:w="55" w:type="dxa"/>
          <w:left w:w="55" w:type="dxa"/>
          <w:bottom w:w="55" w:type="dxa"/>
          <w:right w:w="55" w:type="dxa"/>
        </w:tblCellMar>
        <w:tblLook w:val="0000" w:firstRow="0" w:lastRow="0" w:firstColumn="0" w:lastColumn="0" w:noHBand="0" w:noVBand="0"/>
      </w:tblPr>
      <w:tblGrid>
        <w:gridCol w:w="1719"/>
        <w:gridCol w:w="1062"/>
        <w:gridCol w:w="1465"/>
        <w:gridCol w:w="1385"/>
        <w:gridCol w:w="1119"/>
      </w:tblGrid>
      <w:tr w:rsidR="00000000">
        <w:trPr>
          <w:trHeight w:val="257"/>
          <w:tblHeader/>
        </w:trPr>
        <w:tc>
          <w:tcPr>
            <w:tcW w:w="1719" w:type="dxa"/>
            <w:tcBorders>
              <w:top w:val="single" w:sz="8" w:space="0" w:color="000000"/>
              <w:bottom w:val="single" w:sz="8" w:space="0" w:color="000000"/>
            </w:tcBorders>
            <w:shd w:val="clear" w:color="auto" w:fill="auto"/>
            <w:vAlign w:val="center"/>
          </w:tcPr>
          <w:p w:rsidR="00000000" w:rsidRDefault="00C55CA2">
            <w:pPr>
              <w:autoSpaceDE w:val="0"/>
              <w:spacing w:line="200" w:lineRule="atLeast"/>
              <w:rPr>
                <w:rFonts w:cs="Times New Roman"/>
                <w:b/>
                <w:bCs/>
                <w:sz w:val="20"/>
                <w:szCs w:val="20"/>
              </w:rPr>
            </w:pPr>
            <w:r>
              <w:rPr>
                <w:rFonts w:cs="Times New Roman"/>
                <w:b/>
                <w:bCs/>
                <w:sz w:val="20"/>
                <w:szCs w:val="20"/>
              </w:rPr>
              <w:t>VARIABLES</w:t>
            </w:r>
          </w:p>
        </w:tc>
        <w:tc>
          <w:tcPr>
            <w:tcW w:w="1062" w:type="dxa"/>
            <w:tcBorders>
              <w:top w:val="single" w:sz="8" w:space="0" w:color="000000"/>
              <w:bottom w:val="single" w:sz="8" w:space="0" w:color="000000"/>
            </w:tcBorders>
            <w:shd w:val="clear" w:color="auto" w:fill="auto"/>
            <w:vAlign w:val="center"/>
          </w:tcPr>
          <w:p w:rsidR="00000000" w:rsidRDefault="00C55CA2">
            <w:pPr>
              <w:autoSpaceDE w:val="0"/>
              <w:spacing w:line="200" w:lineRule="atLeast"/>
              <w:jc w:val="center"/>
              <w:rPr>
                <w:rFonts w:cs="Times New Roman"/>
                <w:b/>
                <w:bCs/>
                <w:sz w:val="20"/>
                <w:szCs w:val="20"/>
              </w:rPr>
            </w:pPr>
            <w:r>
              <w:rPr>
                <w:rFonts w:cs="Times New Roman"/>
                <w:b/>
                <w:bCs/>
                <w:sz w:val="20"/>
                <w:szCs w:val="20"/>
              </w:rPr>
              <w:t>M1</w:t>
            </w:r>
          </w:p>
        </w:tc>
        <w:tc>
          <w:tcPr>
            <w:tcW w:w="1465" w:type="dxa"/>
            <w:tcBorders>
              <w:top w:val="single" w:sz="8" w:space="0" w:color="000000"/>
              <w:bottom w:val="single" w:sz="8" w:space="0" w:color="000000"/>
            </w:tcBorders>
            <w:shd w:val="clear" w:color="auto" w:fill="auto"/>
            <w:vAlign w:val="center"/>
          </w:tcPr>
          <w:p w:rsidR="00000000" w:rsidRDefault="00C55CA2">
            <w:pPr>
              <w:autoSpaceDE w:val="0"/>
              <w:spacing w:line="200" w:lineRule="atLeast"/>
              <w:jc w:val="center"/>
              <w:rPr>
                <w:rFonts w:cs="Times New Roman"/>
                <w:b/>
                <w:bCs/>
                <w:sz w:val="20"/>
                <w:szCs w:val="20"/>
              </w:rPr>
            </w:pPr>
            <w:r>
              <w:rPr>
                <w:rFonts w:cs="Times New Roman"/>
                <w:b/>
                <w:bCs/>
                <w:sz w:val="20"/>
                <w:szCs w:val="20"/>
              </w:rPr>
              <w:t>M2</w:t>
            </w:r>
          </w:p>
        </w:tc>
        <w:tc>
          <w:tcPr>
            <w:tcW w:w="1385" w:type="dxa"/>
            <w:tcBorders>
              <w:top w:val="single" w:sz="8" w:space="0" w:color="000000"/>
              <w:bottom w:val="single" w:sz="8" w:space="0" w:color="000000"/>
            </w:tcBorders>
            <w:shd w:val="clear" w:color="auto" w:fill="auto"/>
            <w:vAlign w:val="center"/>
          </w:tcPr>
          <w:p w:rsidR="00000000" w:rsidRDefault="00C55CA2">
            <w:pPr>
              <w:autoSpaceDE w:val="0"/>
              <w:spacing w:line="200" w:lineRule="atLeast"/>
              <w:jc w:val="center"/>
              <w:rPr>
                <w:rFonts w:cs="Times New Roman"/>
                <w:b/>
                <w:bCs/>
                <w:sz w:val="20"/>
                <w:szCs w:val="20"/>
              </w:rPr>
            </w:pPr>
            <w:r>
              <w:rPr>
                <w:rFonts w:cs="Times New Roman"/>
                <w:b/>
                <w:bCs/>
                <w:sz w:val="20"/>
                <w:szCs w:val="20"/>
              </w:rPr>
              <w:t>M3</w:t>
            </w:r>
          </w:p>
        </w:tc>
        <w:tc>
          <w:tcPr>
            <w:tcW w:w="1119" w:type="dxa"/>
            <w:tcBorders>
              <w:top w:val="single" w:sz="8" w:space="0" w:color="000000"/>
              <w:bottom w:val="single" w:sz="8" w:space="0" w:color="000000"/>
            </w:tcBorders>
            <w:shd w:val="clear" w:color="auto" w:fill="auto"/>
            <w:vAlign w:val="center"/>
          </w:tcPr>
          <w:p w:rsidR="00000000" w:rsidRDefault="00C55CA2">
            <w:pPr>
              <w:autoSpaceDE w:val="0"/>
              <w:spacing w:line="200" w:lineRule="atLeast"/>
              <w:jc w:val="center"/>
              <w:rPr>
                <w:rFonts w:cs="Times New Roman"/>
                <w:sz w:val="20"/>
                <w:szCs w:val="20"/>
              </w:rPr>
            </w:pPr>
            <w:r>
              <w:rPr>
                <w:rFonts w:cs="Times New Roman"/>
                <w:b/>
                <w:bCs/>
                <w:sz w:val="20"/>
                <w:szCs w:val="20"/>
              </w:rPr>
              <w:t>M4</w:t>
            </w:r>
          </w:p>
        </w:tc>
      </w:tr>
      <w:tr w:rsidR="00000000">
        <w:tblPrEx>
          <w:tblCellMar>
            <w:top w:w="0" w:type="dxa"/>
            <w:left w:w="30" w:type="dxa"/>
            <w:bottom w:w="0" w:type="dxa"/>
            <w:right w:w="30" w:type="dxa"/>
          </w:tblCellMar>
        </w:tblPrEx>
        <w:trPr>
          <w:trHeight w:val="257"/>
        </w:trPr>
        <w:tc>
          <w:tcPr>
            <w:tcW w:w="1719" w:type="dxa"/>
            <w:shd w:val="clear" w:color="auto" w:fill="auto"/>
            <w:vAlign w:val="bottom"/>
          </w:tcPr>
          <w:p w:rsidR="00000000" w:rsidRDefault="00C55CA2">
            <w:pPr>
              <w:autoSpaceDE w:val="0"/>
              <w:snapToGrid w:val="0"/>
              <w:spacing w:line="200" w:lineRule="atLeast"/>
              <w:rPr>
                <w:rFonts w:cs="Times New Roman"/>
                <w:sz w:val="20"/>
                <w:szCs w:val="20"/>
              </w:rPr>
            </w:pPr>
          </w:p>
        </w:tc>
        <w:tc>
          <w:tcPr>
            <w:tcW w:w="1062"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465"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385"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119" w:type="dxa"/>
            <w:shd w:val="clear" w:color="auto" w:fill="auto"/>
            <w:vAlign w:val="bottom"/>
          </w:tcPr>
          <w:p w:rsidR="00000000" w:rsidRDefault="00C55CA2">
            <w:pPr>
              <w:autoSpaceDE w:val="0"/>
              <w:snapToGrid w:val="0"/>
              <w:spacing w:line="200" w:lineRule="atLeast"/>
              <w:jc w:val="center"/>
              <w:rPr>
                <w:rFonts w:cs="Times New Roman"/>
                <w:sz w:val="20"/>
                <w:szCs w:val="20"/>
              </w:rPr>
            </w:pPr>
          </w:p>
        </w:tc>
      </w:tr>
      <w:tr w:rsidR="00000000">
        <w:tblPrEx>
          <w:tblCellMar>
            <w:top w:w="0" w:type="dxa"/>
            <w:left w:w="30" w:type="dxa"/>
            <w:bottom w:w="0" w:type="dxa"/>
            <w:right w:w="30" w:type="dxa"/>
          </w:tblCellMar>
        </w:tblPrEx>
        <w:trPr>
          <w:trHeight w:val="268"/>
        </w:trPr>
        <w:tc>
          <w:tcPr>
            <w:tcW w:w="1719"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EC</w:t>
            </w: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-0.602***</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-0.580***</w:t>
            </w:r>
          </w:p>
        </w:tc>
        <w:tc>
          <w:tcPr>
            <w:tcW w:w="138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-0.581***</w:t>
            </w:r>
          </w:p>
        </w:tc>
        <w:tc>
          <w:tcPr>
            <w:tcW w:w="1119"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-0.576***</w:t>
            </w:r>
          </w:p>
        </w:tc>
      </w:tr>
      <w:tr w:rsidR="00000000">
        <w:tblPrEx>
          <w:tblCellMar>
            <w:top w:w="0" w:type="dxa"/>
            <w:left w:w="30" w:type="dxa"/>
            <w:bottom w:w="0" w:type="dxa"/>
            <w:right w:w="30" w:type="dxa"/>
          </w:tblCellMar>
        </w:tblPrEx>
        <w:trPr>
          <w:trHeight w:val="257"/>
        </w:trPr>
        <w:tc>
          <w:tcPr>
            <w:tcW w:w="1719"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(0.08</w:t>
            </w:r>
            <w:r>
              <w:rPr>
                <w:rFonts w:cs="Times New Roman"/>
                <w:sz w:val="20"/>
                <w:szCs w:val="20"/>
              </w:rPr>
              <w:t>15)</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(0.0834)</w:t>
            </w:r>
          </w:p>
        </w:tc>
        <w:tc>
          <w:tcPr>
            <w:tcW w:w="138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(0.0824)</w:t>
            </w:r>
          </w:p>
        </w:tc>
        <w:tc>
          <w:tcPr>
            <w:tcW w:w="1119"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(0.0734)</w:t>
            </w:r>
          </w:p>
        </w:tc>
      </w:tr>
      <w:tr w:rsidR="00000000">
        <w:tblPrEx>
          <w:tblCellMar>
            <w:top w:w="0" w:type="dxa"/>
            <w:left w:w="30" w:type="dxa"/>
            <w:bottom w:w="0" w:type="dxa"/>
            <w:right w:w="30" w:type="dxa"/>
          </w:tblCellMar>
        </w:tblPrEx>
        <w:trPr>
          <w:trHeight w:val="268"/>
        </w:trPr>
        <w:tc>
          <w:tcPr>
            <w:tcW w:w="1719"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D.IG</w:t>
            </w: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-0.0355</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-0.0414</w:t>
            </w:r>
          </w:p>
        </w:tc>
        <w:tc>
          <w:tcPr>
            <w:tcW w:w="138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-0.0387</w:t>
            </w:r>
          </w:p>
        </w:tc>
        <w:tc>
          <w:tcPr>
            <w:tcW w:w="1119"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-0.0344</w:t>
            </w:r>
          </w:p>
        </w:tc>
      </w:tr>
      <w:tr w:rsidR="00000000">
        <w:tblPrEx>
          <w:tblCellMar>
            <w:top w:w="0" w:type="dxa"/>
            <w:left w:w="30" w:type="dxa"/>
            <w:bottom w:w="0" w:type="dxa"/>
            <w:right w:w="30" w:type="dxa"/>
          </w:tblCellMar>
        </w:tblPrEx>
        <w:trPr>
          <w:trHeight w:val="257"/>
        </w:trPr>
        <w:tc>
          <w:tcPr>
            <w:tcW w:w="1719"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(0.0879)</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(0.0856)</w:t>
            </w:r>
          </w:p>
        </w:tc>
        <w:tc>
          <w:tcPr>
            <w:tcW w:w="138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(0.0862)</w:t>
            </w:r>
          </w:p>
        </w:tc>
        <w:tc>
          <w:tcPr>
            <w:tcW w:w="1119"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(0.0871)</w:t>
            </w:r>
          </w:p>
        </w:tc>
      </w:tr>
      <w:tr w:rsidR="00000000">
        <w:tblPrEx>
          <w:tblCellMar>
            <w:top w:w="0" w:type="dxa"/>
            <w:left w:w="30" w:type="dxa"/>
            <w:bottom w:w="0" w:type="dxa"/>
            <w:right w:w="30" w:type="dxa"/>
          </w:tblCellMar>
        </w:tblPrEx>
        <w:trPr>
          <w:trHeight w:val="268"/>
        </w:trPr>
        <w:tc>
          <w:tcPr>
            <w:tcW w:w="1719"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D.GDP</w:t>
            </w: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6.464***</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5.807***</w:t>
            </w:r>
          </w:p>
        </w:tc>
        <w:tc>
          <w:tcPr>
            <w:tcW w:w="138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5.260**</w:t>
            </w:r>
          </w:p>
        </w:tc>
        <w:tc>
          <w:tcPr>
            <w:tcW w:w="1119"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5.091***</w:t>
            </w:r>
          </w:p>
        </w:tc>
      </w:tr>
      <w:tr w:rsidR="00000000">
        <w:tblPrEx>
          <w:tblCellMar>
            <w:top w:w="0" w:type="dxa"/>
            <w:left w:w="30" w:type="dxa"/>
            <w:bottom w:w="0" w:type="dxa"/>
            <w:right w:w="30" w:type="dxa"/>
          </w:tblCellMar>
        </w:tblPrEx>
        <w:trPr>
          <w:trHeight w:val="257"/>
        </w:trPr>
        <w:tc>
          <w:tcPr>
            <w:tcW w:w="1719"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(1.954)</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(1.778)</w:t>
            </w:r>
          </w:p>
        </w:tc>
        <w:tc>
          <w:tcPr>
            <w:tcW w:w="138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(2.158)</w:t>
            </w:r>
          </w:p>
        </w:tc>
        <w:tc>
          <w:tcPr>
            <w:tcW w:w="1119"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(1.905)</w:t>
            </w:r>
          </w:p>
        </w:tc>
      </w:tr>
      <w:tr w:rsidR="00000000">
        <w:tblPrEx>
          <w:tblCellMar>
            <w:top w:w="0" w:type="dxa"/>
            <w:left w:w="30" w:type="dxa"/>
            <w:bottom w:w="0" w:type="dxa"/>
            <w:right w:w="30" w:type="dxa"/>
          </w:tblCellMar>
        </w:tblPrEx>
        <w:trPr>
          <w:trHeight w:val="268"/>
        </w:trPr>
        <w:tc>
          <w:tcPr>
            <w:tcW w:w="1719"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D.GAPGDP</w:t>
            </w: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-0.0691***</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-0.0591***</w:t>
            </w:r>
          </w:p>
        </w:tc>
        <w:tc>
          <w:tcPr>
            <w:tcW w:w="138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-0.0535**</w:t>
            </w:r>
          </w:p>
        </w:tc>
        <w:tc>
          <w:tcPr>
            <w:tcW w:w="1119"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-0.0506**</w:t>
            </w:r>
          </w:p>
        </w:tc>
      </w:tr>
      <w:tr w:rsidR="00000000">
        <w:tblPrEx>
          <w:tblCellMar>
            <w:top w:w="0" w:type="dxa"/>
            <w:left w:w="30" w:type="dxa"/>
            <w:bottom w:w="0" w:type="dxa"/>
            <w:right w:w="30" w:type="dxa"/>
          </w:tblCellMar>
        </w:tblPrEx>
        <w:trPr>
          <w:trHeight w:val="257"/>
        </w:trPr>
        <w:tc>
          <w:tcPr>
            <w:tcW w:w="1719"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(0.0198)</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(0.0194)</w:t>
            </w:r>
          </w:p>
        </w:tc>
        <w:tc>
          <w:tcPr>
            <w:tcW w:w="138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w:t>
            </w:r>
            <w:r>
              <w:rPr>
                <w:rFonts w:cs="Times New Roman"/>
                <w:sz w:val="20"/>
                <w:szCs w:val="20"/>
              </w:rPr>
              <w:t>0.0268)</w:t>
            </w:r>
          </w:p>
        </w:tc>
        <w:tc>
          <w:tcPr>
            <w:tcW w:w="1119"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(0.0251)</w:t>
            </w:r>
          </w:p>
        </w:tc>
      </w:tr>
      <w:tr w:rsidR="00000000">
        <w:tblPrEx>
          <w:tblCellMar>
            <w:top w:w="0" w:type="dxa"/>
            <w:left w:w="30" w:type="dxa"/>
            <w:bottom w:w="0" w:type="dxa"/>
            <w:right w:w="30" w:type="dxa"/>
          </w:tblCellMar>
        </w:tblPrEx>
        <w:trPr>
          <w:trHeight w:val="257"/>
        </w:trPr>
        <w:tc>
          <w:tcPr>
            <w:tcW w:w="1719"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D.R</w:t>
            </w: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0.0142</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0.00581</w:t>
            </w:r>
          </w:p>
        </w:tc>
        <w:tc>
          <w:tcPr>
            <w:tcW w:w="138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0.00741*</w:t>
            </w:r>
          </w:p>
        </w:tc>
        <w:tc>
          <w:tcPr>
            <w:tcW w:w="1119"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0.00706**</w:t>
            </w:r>
          </w:p>
        </w:tc>
      </w:tr>
      <w:tr w:rsidR="00000000">
        <w:tblPrEx>
          <w:tblCellMar>
            <w:top w:w="0" w:type="dxa"/>
            <w:left w:w="30" w:type="dxa"/>
            <w:bottom w:w="0" w:type="dxa"/>
            <w:right w:w="30" w:type="dxa"/>
          </w:tblCellMar>
        </w:tblPrEx>
        <w:trPr>
          <w:trHeight w:val="257"/>
        </w:trPr>
        <w:tc>
          <w:tcPr>
            <w:tcW w:w="1719"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(0.0102)</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(0.00432)</w:t>
            </w:r>
          </w:p>
        </w:tc>
        <w:tc>
          <w:tcPr>
            <w:tcW w:w="138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(0.00385)</w:t>
            </w:r>
          </w:p>
        </w:tc>
        <w:tc>
          <w:tcPr>
            <w:tcW w:w="1119"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(0.00353)</w:t>
            </w:r>
          </w:p>
        </w:tc>
      </w:tr>
      <w:tr w:rsidR="00000000">
        <w:tblPrEx>
          <w:tblCellMar>
            <w:top w:w="0" w:type="dxa"/>
            <w:left w:w="30" w:type="dxa"/>
            <w:bottom w:w="0" w:type="dxa"/>
            <w:right w:w="30" w:type="dxa"/>
          </w:tblCellMar>
        </w:tblPrEx>
        <w:trPr>
          <w:trHeight w:val="268"/>
        </w:trPr>
        <w:tc>
          <w:tcPr>
            <w:tcW w:w="1719"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D.INFL</w:t>
            </w: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0.00725</w:t>
            </w:r>
          </w:p>
        </w:tc>
        <w:tc>
          <w:tcPr>
            <w:tcW w:w="1465"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385"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119" w:type="dxa"/>
            <w:shd w:val="clear" w:color="auto" w:fill="auto"/>
            <w:vAlign w:val="bottom"/>
          </w:tcPr>
          <w:p w:rsidR="00000000" w:rsidRDefault="00C55CA2">
            <w:pPr>
              <w:autoSpaceDE w:val="0"/>
              <w:snapToGrid w:val="0"/>
              <w:spacing w:line="200" w:lineRule="atLeast"/>
              <w:jc w:val="center"/>
              <w:rPr>
                <w:rFonts w:cs="Times New Roman"/>
                <w:sz w:val="20"/>
                <w:szCs w:val="20"/>
              </w:rPr>
            </w:pPr>
          </w:p>
        </w:tc>
      </w:tr>
      <w:tr w:rsidR="00000000">
        <w:tblPrEx>
          <w:tblCellMar>
            <w:top w:w="0" w:type="dxa"/>
            <w:left w:w="30" w:type="dxa"/>
            <w:bottom w:w="0" w:type="dxa"/>
            <w:right w:w="30" w:type="dxa"/>
          </w:tblCellMar>
        </w:tblPrEx>
        <w:trPr>
          <w:trHeight w:val="257"/>
        </w:trPr>
        <w:tc>
          <w:tcPr>
            <w:tcW w:w="1719"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(0.00991)</w:t>
            </w:r>
          </w:p>
        </w:tc>
        <w:tc>
          <w:tcPr>
            <w:tcW w:w="1465"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385"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119" w:type="dxa"/>
            <w:shd w:val="clear" w:color="auto" w:fill="auto"/>
            <w:vAlign w:val="bottom"/>
          </w:tcPr>
          <w:p w:rsidR="00000000" w:rsidRDefault="00C55CA2">
            <w:pPr>
              <w:autoSpaceDE w:val="0"/>
              <w:snapToGrid w:val="0"/>
              <w:spacing w:line="200" w:lineRule="atLeast"/>
              <w:jc w:val="center"/>
              <w:rPr>
                <w:rFonts w:cs="Times New Roman"/>
                <w:sz w:val="20"/>
                <w:szCs w:val="20"/>
              </w:rPr>
            </w:pPr>
          </w:p>
        </w:tc>
      </w:tr>
      <w:tr w:rsidR="00000000">
        <w:tblPrEx>
          <w:tblCellMar>
            <w:top w:w="0" w:type="dxa"/>
            <w:left w:w="30" w:type="dxa"/>
            <w:bottom w:w="0" w:type="dxa"/>
            <w:right w:w="30" w:type="dxa"/>
          </w:tblCellMar>
        </w:tblPrEx>
        <w:trPr>
          <w:trHeight w:val="268"/>
        </w:trPr>
        <w:tc>
          <w:tcPr>
            <w:tcW w:w="1719"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D.CRED</w:t>
            </w: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0.0249</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0.0259</w:t>
            </w:r>
          </w:p>
        </w:tc>
        <w:tc>
          <w:tcPr>
            <w:tcW w:w="1385"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119" w:type="dxa"/>
            <w:shd w:val="clear" w:color="auto" w:fill="auto"/>
            <w:vAlign w:val="bottom"/>
          </w:tcPr>
          <w:p w:rsidR="00000000" w:rsidRDefault="00C55CA2">
            <w:pPr>
              <w:autoSpaceDE w:val="0"/>
              <w:snapToGrid w:val="0"/>
              <w:spacing w:line="200" w:lineRule="atLeast"/>
              <w:jc w:val="center"/>
              <w:rPr>
                <w:rFonts w:cs="Times New Roman"/>
                <w:sz w:val="20"/>
                <w:szCs w:val="20"/>
              </w:rPr>
            </w:pPr>
          </w:p>
        </w:tc>
      </w:tr>
      <w:tr w:rsidR="00000000">
        <w:tblPrEx>
          <w:tblCellMar>
            <w:top w:w="0" w:type="dxa"/>
            <w:left w:w="30" w:type="dxa"/>
            <w:bottom w:w="0" w:type="dxa"/>
            <w:right w:w="30" w:type="dxa"/>
          </w:tblCellMar>
        </w:tblPrEx>
        <w:trPr>
          <w:trHeight w:val="257"/>
        </w:trPr>
        <w:tc>
          <w:tcPr>
            <w:tcW w:w="1719"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(0.0175)</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(0.0167)</w:t>
            </w:r>
          </w:p>
        </w:tc>
        <w:tc>
          <w:tcPr>
            <w:tcW w:w="1385"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119" w:type="dxa"/>
            <w:shd w:val="clear" w:color="auto" w:fill="auto"/>
            <w:vAlign w:val="bottom"/>
          </w:tcPr>
          <w:p w:rsidR="00000000" w:rsidRDefault="00C55CA2">
            <w:pPr>
              <w:autoSpaceDE w:val="0"/>
              <w:snapToGrid w:val="0"/>
              <w:spacing w:line="200" w:lineRule="atLeast"/>
              <w:jc w:val="center"/>
              <w:rPr>
                <w:rFonts w:cs="Times New Roman"/>
                <w:sz w:val="20"/>
                <w:szCs w:val="20"/>
              </w:rPr>
            </w:pPr>
          </w:p>
        </w:tc>
      </w:tr>
      <w:tr w:rsidR="00000000">
        <w:tblPrEx>
          <w:tblCellMar>
            <w:top w:w="0" w:type="dxa"/>
            <w:left w:w="30" w:type="dxa"/>
            <w:bottom w:w="0" w:type="dxa"/>
            <w:right w:w="30" w:type="dxa"/>
          </w:tblCellMar>
        </w:tblPrEx>
        <w:trPr>
          <w:trHeight w:val="268"/>
        </w:trPr>
        <w:tc>
          <w:tcPr>
            <w:tcW w:w="1719"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D.TOT</w:t>
            </w: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0.000270</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0.000214</w:t>
            </w:r>
          </w:p>
        </w:tc>
        <w:tc>
          <w:tcPr>
            <w:tcW w:w="138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0.000188</w:t>
            </w:r>
          </w:p>
        </w:tc>
        <w:tc>
          <w:tcPr>
            <w:tcW w:w="1119" w:type="dxa"/>
            <w:shd w:val="clear" w:color="auto" w:fill="auto"/>
            <w:vAlign w:val="bottom"/>
          </w:tcPr>
          <w:p w:rsidR="00000000" w:rsidRDefault="00C55CA2">
            <w:pPr>
              <w:autoSpaceDE w:val="0"/>
              <w:snapToGrid w:val="0"/>
              <w:spacing w:line="200" w:lineRule="atLeast"/>
              <w:jc w:val="center"/>
              <w:rPr>
                <w:rFonts w:cs="Times New Roman"/>
                <w:sz w:val="20"/>
                <w:szCs w:val="20"/>
              </w:rPr>
            </w:pPr>
          </w:p>
        </w:tc>
      </w:tr>
      <w:tr w:rsidR="00000000">
        <w:tblPrEx>
          <w:tblCellMar>
            <w:top w:w="0" w:type="dxa"/>
            <w:left w:w="30" w:type="dxa"/>
            <w:bottom w:w="0" w:type="dxa"/>
            <w:right w:w="30" w:type="dxa"/>
          </w:tblCellMar>
        </w:tblPrEx>
        <w:trPr>
          <w:trHeight w:val="257"/>
        </w:trPr>
        <w:tc>
          <w:tcPr>
            <w:tcW w:w="1719"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(0.000245)</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(0.000249)</w:t>
            </w:r>
          </w:p>
        </w:tc>
        <w:tc>
          <w:tcPr>
            <w:tcW w:w="138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(0.000271)</w:t>
            </w:r>
          </w:p>
        </w:tc>
        <w:tc>
          <w:tcPr>
            <w:tcW w:w="1119" w:type="dxa"/>
            <w:shd w:val="clear" w:color="auto" w:fill="auto"/>
            <w:vAlign w:val="bottom"/>
          </w:tcPr>
          <w:p w:rsidR="00000000" w:rsidRDefault="00C55CA2">
            <w:pPr>
              <w:autoSpaceDE w:val="0"/>
              <w:snapToGrid w:val="0"/>
              <w:spacing w:line="200" w:lineRule="atLeast"/>
              <w:jc w:val="center"/>
              <w:rPr>
                <w:rFonts w:cs="Times New Roman"/>
                <w:sz w:val="20"/>
                <w:szCs w:val="20"/>
              </w:rPr>
            </w:pPr>
          </w:p>
        </w:tc>
      </w:tr>
      <w:tr w:rsidR="00000000">
        <w:tblPrEx>
          <w:tblCellMar>
            <w:top w:w="0" w:type="dxa"/>
            <w:left w:w="30" w:type="dxa"/>
            <w:bottom w:w="0" w:type="dxa"/>
            <w:right w:w="30" w:type="dxa"/>
          </w:tblCellMar>
        </w:tblPrEx>
        <w:trPr>
          <w:trHeight w:val="268"/>
        </w:trPr>
        <w:tc>
          <w:tcPr>
            <w:tcW w:w="1719"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D.OUV</w:t>
            </w: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w:t>
            </w:r>
            <w:r>
              <w:rPr>
                <w:rFonts w:cs="Times New Roman"/>
                <w:sz w:val="20"/>
                <w:szCs w:val="20"/>
              </w:rPr>
              <w:t>0.000137</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8.39e-05</w:t>
            </w:r>
          </w:p>
        </w:tc>
        <w:tc>
          <w:tcPr>
            <w:tcW w:w="138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0.00320</w:t>
            </w:r>
          </w:p>
        </w:tc>
        <w:tc>
          <w:tcPr>
            <w:tcW w:w="1119"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0.00347</w:t>
            </w:r>
          </w:p>
        </w:tc>
      </w:tr>
      <w:tr w:rsidR="00000000">
        <w:tblPrEx>
          <w:tblCellMar>
            <w:top w:w="0" w:type="dxa"/>
            <w:left w:w="30" w:type="dxa"/>
            <w:bottom w:w="0" w:type="dxa"/>
            <w:right w:w="30" w:type="dxa"/>
          </w:tblCellMar>
        </w:tblPrEx>
        <w:trPr>
          <w:trHeight w:val="257"/>
        </w:trPr>
        <w:tc>
          <w:tcPr>
            <w:tcW w:w="1719"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(0.00566)</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(0.00555)</w:t>
            </w:r>
          </w:p>
        </w:tc>
        <w:tc>
          <w:tcPr>
            <w:tcW w:w="138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(0.00661)</w:t>
            </w:r>
          </w:p>
        </w:tc>
        <w:tc>
          <w:tcPr>
            <w:tcW w:w="1119"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(0.00626)</w:t>
            </w:r>
          </w:p>
        </w:tc>
      </w:tr>
      <w:tr w:rsidR="00000000">
        <w:tblPrEx>
          <w:tblCellMar>
            <w:top w:w="0" w:type="dxa"/>
            <w:left w:w="30" w:type="dxa"/>
            <w:bottom w:w="0" w:type="dxa"/>
            <w:right w:w="30" w:type="dxa"/>
          </w:tblCellMar>
        </w:tblPrEx>
        <w:trPr>
          <w:trHeight w:val="268"/>
        </w:trPr>
        <w:tc>
          <w:tcPr>
            <w:tcW w:w="1719"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D.GOUV</w:t>
            </w: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0.126**</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0.132***</w:t>
            </w:r>
          </w:p>
        </w:tc>
        <w:tc>
          <w:tcPr>
            <w:tcW w:w="138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0.138***</w:t>
            </w:r>
          </w:p>
        </w:tc>
        <w:tc>
          <w:tcPr>
            <w:tcW w:w="1119"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0.148***</w:t>
            </w:r>
          </w:p>
        </w:tc>
      </w:tr>
      <w:tr w:rsidR="00000000">
        <w:tblPrEx>
          <w:tblCellMar>
            <w:top w:w="0" w:type="dxa"/>
            <w:left w:w="30" w:type="dxa"/>
            <w:bottom w:w="0" w:type="dxa"/>
            <w:right w:w="30" w:type="dxa"/>
          </w:tblCellMar>
        </w:tblPrEx>
        <w:trPr>
          <w:trHeight w:val="257"/>
        </w:trPr>
        <w:tc>
          <w:tcPr>
            <w:tcW w:w="1719"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(0.0627)</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(0.0446)</w:t>
            </w:r>
          </w:p>
        </w:tc>
        <w:tc>
          <w:tcPr>
            <w:tcW w:w="138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(0.0533)</w:t>
            </w:r>
          </w:p>
        </w:tc>
        <w:tc>
          <w:tcPr>
            <w:tcW w:w="1119"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(0.0488)</w:t>
            </w:r>
          </w:p>
        </w:tc>
      </w:tr>
      <w:tr w:rsidR="00000000">
        <w:tblPrEx>
          <w:tblCellMar>
            <w:top w:w="0" w:type="dxa"/>
            <w:left w:w="30" w:type="dxa"/>
            <w:bottom w:w="0" w:type="dxa"/>
            <w:right w:w="30" w:type="dxa"/>
          </w:tblCellMar>
        </w:tblPrEx>
        <w:trPr>
          <w:trHeight w:val="268"/>
        </w:trPr>
        <w:tc>
          <w:tcPr>
            <w:tcW w:w="1719"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D.POLS</w:t>
            </w:r>
          </w:p>
        </w:tc>
        <w:tc>
          <w:tcPr>
            <w:tcW w:w="1062"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0.0603</w:t>
            </w:r>
          </w:p>
        </w:tc>
        <w:tc>
          <w:tcPr>
            <w:tcW w:w="146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0.0401</w:t>
            </w:r>
          </w:p>
        </w:tc>
        <w:tc>
          <w:tcPr>
            <w:tcW w:w="138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0.0505</w:t>
            </w:r>
          </w:p>
        </w:tc>
        <w:tc>
          <w:tcPr>
            <w:tcW w:w="1119"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0.0347</w:t>
            </w:r>
          </w:p>
        </w:tc>
      </w:tr>
      <w:tr w:rsidR="00000000">
        <w:trPr>
          <w:trHeight w:val="257"/>
        </w:trPr>
        <w:tc>
          <w:tcPr>
            <w:tcW w:w="1719" w:type="dxa"/>
            <w:tcBorders>
              <w:bottom w:val="single" w:sz="8" w:space="0" w:color="000000"/>
            </w:tcBorders>
            <w:shd w:val="clear" w:color="auto" w:fill="auto"/>
            <w:vAlign w:val="bottom"/>
          </w:tcPr>
          <w:p w:rsidR="00000000" w:rsidRDefault="00C55CA2">
            <w:pPr>
              <w:autoSpaceDE w:val="0"/>
              <w:snapToGrid w:val="0"/>
              <w:spacing w:line="200" w:lineRule="atLeast"/>
              <w:rPr>
                <w:rFonts w:cs="Times New Roman"/>
                <w:b/>
                <w:bCs/>
                <w:sz w:val="20"/>
                <w:szCs w:val="20"/>
              </w:rPr>
            </w:pPr>
          </w:p>
        </w:tc>
        <w:tc>
          <w:tcPr>
            <w:tcW w:w="1062" w:type="dxa"/>
            <w:tcBorders>
              <w:bottom w:val="single" w:sz="8" w:space="0" w:color="000000"/>
            </w:tcBorders>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(0.0658)</w:t>
            </w:r>
          </w:p>
        </w:tc>
        <w:tc>
          <w:tcPr>
            <w:tcW w:w="1465" w:type="dxa"/>
            <w:tcBorders>
              <w:bottom w:val="single" w:sz="8" w:space="0" w:color="000000"/>
            </w:tcBorders>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(0.0702)</w:t>
            </w:r>
          </w:p>
        </w:tc>
        <w:tc>
          <w:tcPr>
            <w:tcW w:w="1385" w:type="dxa"/>
            <w:tcBorders>
              <w:bottom w:val="single" w:sz="8" w:space="0" w:color="000000"/>
            </w:tcBorders>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(0.0676)</w:t>
            </w:r>
          </w:p>
        </w:tc>
        <w:tc>
          <w:tcPr>
            <w:tcW w:w="1119" w:type="dxa"/>
            <w:tcBorders>
              <w:bottom w:val="single" w:sz="8" w:space="0" w:color="000000"/>
            </w:tcBorders>
            <w:shd w:val="clear" w:color="auto" w:fill="auto"/>
            <w:vAlign w:val="bottom"/>
          </w:tcPr>
          <w:p w:rsidR="00000000" w:rsidRDefault="00C55CA2">
            <w:pPr>
              <w:autoSpaceDE w:val="0"/>
              <w:spacing w:line="200" w:lineRule="atLeast"/>
              <w:jc w:val="center"/>
              <w:rPr>
                <w:rFonts w:eastAsia="CMR10" w:cs="Times New Roman"/>
                <w:b/>
                <w:bCs/>
                <w:color w:val="000000"/>
                <w:sz w:val="20"/>
                <w:szCs w:val="20"/>
                <w:lang w:eastAsia="en-US" w:bidi="en-US"/>
              </w:rPr>
            </w:pPr>
            <w:r>
              <w:rPr>
                <w:rFonts w:cs="Times New Roman"/>
                <w:sz w:val="20"/>
                <w:szCs w:val="20"/>
              </w:rPr>
              <w:t>(0.0721)</w:t>
            </w:r>
          </w:p>
        </w:tc>
      </w:tr>
    </w:tbl>
    <w:p w:rsidR="00000000" w:rsidRDefault="00C55CA2">
      <w:pPr>
        <w:widowControl/>
        <w:spacing w:after="57" w:line="100" w:lineRule="atLeast"/>
        <w:jc w:val="both"/>
        <w:rPr>
          <w:rFonts w:eastAsia="Garamond" w:cs="Times New Roman"/>
          <w:color w:val="000000"/>
          <w:sz w:val="22"/>
          <w:szCs w:val="22"/>
          <w:lang w:eastAsia="en-US" w:bidi="en-US"/>
        </w:rPr>
      </w:pPr>
      <w:r>
        <w:rPr>
          <w:rFonts w:eastAsia="CMR10" w:cs="Times New Roman"/>
          <w:b/>
          <w:bCs/>
          <w:color w:val="000000"/>
          <w:sz w:val="20"/>
          <w:szCs w:val="20"/>
          <w:lang w:eastAsia="en-US" w:bidi="en-US"/>
        </w:rPr>
        <w:t>Source</w:t>
      </w:r>
      <w:r>
        <w:rPr>
          <w:rFonts w:eastAsia="CMR10" w:cs="Times New Roman"/>
          <w:color w:val="000000"/>
          <w:sz w:val="20"/>
          <w:szCs w:val="20"/>
          <w:lang w:eastAsia="en-US" w:bidi="en-US"/>
        </w:rPr>
        <w:t xml:space="preserve">: Author, </w:t>
      </w:r>
      <w:r>
        <w:rPr>
          <w:rFonts w:cs="Times New Roman"/>
          <w:color w:val="000000"/>
          <w:sz w:val="20"/>
          <w:szCs w:val="20"/>
        </w:rPr>
        <w:t>Robust s</w:t>
      </w:r>
      <w:r>
        <w:rPr>
          <w:rFonts w:cs="Times New Roman"/>
          <w:color w:val="000000"/>
          <w:sz w:val="20"/>
          <w:szCs w:val="20"/>
        </w:rPr>
        <w:t>tandard errors (in parentheses) and cluster the standard errors at country level *** p&lt;0.01, ** p&lt;0.05, * p&lt;0.1</w:t>
      </w:r>
    </w:p>
    <w:p w:rsidR="00000000" w:rsidRDefault="00C55CA2">
      <w:pPr>
        <w:widowControl/>
        <w:spacing w:line="200" w:lineRule="atLeast"/>
        <w:ind w:firstLine="283"/>
        <w:jc w:val="both"/>
        <w:rPr>
          <w:rFonts w:eastAsia="Garamond" w:cs="Times New Roman"/>
          <w:color w:val="000000"/>
          <w:sz w:val="22"/>
          <w:szCs w:val="22"/>
          <w:lang w:eastAsia="en-US" w:bidi="en-US"/>
        </w:rPr>
      </w:pPr>
    </w:p>
    <w:p w:rsidR="00000000" w:rsidRDefault="00C55CA2">
      <w:pPr>
        <w:spacing w:after="80" w:line="240" w:lineRule="exact"/>
        <w:rPr>
          <w:rFonts w:cs="Times New Roman"/>
          <w:b/>
          <w:bCs/>
          <w:sz w:val="20"/>
          <w:szCs w:val="20"/>
        </w:rPr>
      </w:pPr>
      <w:r>
        <w:rPr>
          <w:rFonts w:eastAsia="CMR10" w:cs="Times New Roman"/>
          <w:b/>
          <w:bCs/>
          <w:color w:val="000000"/>
          <w:sz w:val="20"/>
          <w:szCs w:val="20"/>
        </w:rPr>
        <w:t>TABLE 5</w:t>
      </w:r>
      <w:r>
        <w:rPr>
          <w:rFonts w:eastAsia="CMR10" w:cs="Times New Roman"/>
          <w:color w:val="000000"/>
          <w:sz w:val="20"/>
          <w:szCs w:val="20"/>
        </w:rPr>
        <w:t xml:space="preserve">. </w:t>
      </w:r>
      <w:r>
        <w:rPr>
          <w:rFonts w:eastAsia="CMR10" w:cs="Times New Roman"/>
          <w:i/>
          <w:iCs/>
          <w:color w:val="000000"/>
          <w:sz w:val="20"/>
          <w:szCs w:val="20"/>
        </w:rPr>
        <w:t>Long-Run Dynamic Fixed-Effects Estimation of the Private Investment</w:t>
      </w:r>
    </w:p>
    <w:tbl>
      <w:tblPr>
        <w:tblW w:w="0" w:type="auto"/>
        <w:tblInd w:w="69" w:type="dxa"/>
        <w:tblLayout w:type="fixed"/>
        <w:tblCellMar>
          <w:top w:w="55" w:type="dxa"/>
          <w:left w:w="55" w:type="dxa"/>
          <w:bottom w:w="55" w:type="dxa"/>
          <w:right w:w="55" w:type="dxa"/>
        </w:tblCellMar>
        <w:tblLook w:val="0000" w:firstRow="0" w:lastRow="0" w:firstColumn="0" w:lastColumn="0" w:noHBand="0" w:noVBand="0"/>
      </w:tblPr>
      <w:tblGrid>
        <w:gridCol w:w="1477"/>
        <w:gridCol w:w="1258"/>
        <w:gridCol w:w="1373"/>
        <w:gridCol w:w="1315"/>
        <w:gridCol w:w="1373"/>
      </w:tblGrid>
      <w:tr w:rsidR="00000000">
        <w:trPr>
          <w:trHeight w:val="257"/>
          <w:tblHeader/>
        </w:trPr>
        <w:tc>
          <w:tcPr>
            <w:tcW w:w="1477" w:type="dxa"/>
            <w:tcBorders>
              <w:top w:val="single" w:sz="8" w:space="0" w:color="000000"/>
              <w:bottom w:val="single" w:sz="8" w:space="0" w:color="000000"/>
            </w:tcBorders>
            <w:shd w:val="clear" w:color="auto" w:fill="auto"/>
            <w:vAlign w:val="bottom"/>
          </w:tcPr>
          <w:p w:rsidR="00000000" w:rsidRDefault="00C55CA2">
            <w:pPr>
              <w:autoSpaceDE w:val="0"/>
              <w:spacing w:line="200" w:lineRule="atLeast"/>
              <w:rPr>
                <w:rFonts w:cs="Times New Roman"/>
                <w:b/>
                <w:bCs/>
                <w:sz w:val="20"/>
                <w:szCs w:val="20"/>
              </w:rPr>
            </w:pPr>
            <w:r>
              <w:rPr>
                <w:rFonts w:cs="Times New Roman"/>
                <w:b/>
                <w:bCs/>
                <w:sz w:val="20"/>
                <w:szCs w:val="20"/>
              </w:rPr>
              <w:lastRenderedPageBreak/>
              <w:t>VARIABLES</w:t>
            </w:r>
          </w:p>
        </w:tc>
        <w:tc>
          <w:tcPr>
            <w:tcW w:w="1258" w:type="dxa"/>
            <w:tcBorders>
              <w:top w:val="single" w:sz="8" w:space="0" w:color="000000"/>
              <w:bottom w:val="single" w:sz="8" w:space="0" w:color="000000"/>
            </w:tcBorders>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b/>
                <w:bCs/>
                <w:sz w:val="20"/>
                <w:szCs w:val="20"/>
              </w:rPr>
              <w:t>M1</w:t>
            </w:r>
          </w:p>
        </w:tc>
        <w:tc>
          <w:tcPr>
            <w:tcW w:w="1373" w:type="dxa"/>
            <w:tcBorders>
              <w:top w:val="single" w:sz="8" w:space="0" w:color="000000"/>
              <w:bottom w:val="single" w:sz="8" w:space="0" w:color="000000"/>
            </w:tcBorders>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b/>
                <w:bCs/>
                <w:sz w:val="20"/>
                <w:szCs w:val="20"/>
              </w:rPr>
              <w:t>M2</w:t>
            </w:r>
          </w:p>
        </w:tc>
        <w:tc>
          <w:tcPr>
            <w:tcW w:w="1315" w:type="dxa"/>
            <w:tcBorders>
              <w:top w:val="single" w:sz="8" w:space="0" w:color="000000"/>
              <w:bottom w:val="single" w:sz="8" w:space="0" w:color="000000"/>
            </w:tcBorders>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b/>
                <w:bCs/>
                <w:sz w:val="20"/>
                <w:szCs w:val="20"/>
              </w:rPr>
              <w:t>M3</w:t>
            </w:r>
          </w:p>
        </w:tc>
        <w:tc>
          <w:tcPr>
            <w:tcW w:w="1373" w:type="dxa"/>
            <w:tcBorders>
              <w:top w:val="single" w:sz="8" w:space="0" w:color="000000"/>
              <w:bottom w:val="single" w:sz="8" w:space="0" w:color="000000"/>
            </w:tcBorders>
            <w:shd w:val="clear" w:color="auto" w:fill="auto"/>
            <w:vAlign w:val="bottom"/>
          </w:tcPr>
          <w:p w:rsidR="00000000" w:rsidRDefault="00C55CA2">
            <w:pPr>
              <w:autoSpaceDE w:val="0"/>
              <w:spacing w:line="200" w:lineRule="atLeast"/>
              <w:jc w:val="center"/>
              <w:rPr>
                <w:rFonts w:cs="Times New Roman"/>
                <w:sz w:val="20"/>
                <w:szCs w:val="20"/>
              </w:rPr>
            </w:pPr>
            <w:r>
              <w:rPr>
                <w:rFonts w:cs="Times New Roman"/>
                <w:b/>
                <w:bCs/>
                <w:sz w:val="20"/>
                <w:szCs w:val="20"/>
              </w:rPr>
              <w:t>M4</w:t>
            </w:r>
          </w:p>
        </w:tc>
      </w:tr>
      <w:tr w:rsidR="00000000">
        <w:tblPrEx>
          <w:tblCellMar>
            <w:top w:w="0" w:type="dxa"/>
            <w:left w:w="30" w:type="dxa"/>
            <w:bottom w:w="0" w:type="dxa"/>
            <w:right w:w="30" w:type="dxa"/>
          </w:tblCellMar>
        </w:tblPrEx>
        <w:trPr>
          <w:trHeight w:val="257"/>
        </w:trPr>
        <w:tc>
          <w:tcPr>
            <w:tcW w:w="1477" w:type="dxa"/>
            <w:shd w:val="clear" w:color="auto" w:fill="auto"/>
            <w:vAlign w:val="bottom"/>
          </w:tcPr>
          <w:p w:rsidR="00000000" w:rsidRDefault="00C55CA2">
            <w:pPr>
              <w:autoSpaceDE w:val="0"/>
              <w:snapToGrid w:val="0"/>
              <w:spacing w:line="200" w:lineRule="atLeast"/>
              <w:rPr>
                <w:rFonts w:cs="Times New Roman"/>
                <w:sz w:val="20"/>
                <w:szCs w:val="20"/>
              </w:rPr>
            </w:pPr>
          </w:p>
        </w:tc>
        <w:tc>
          <w:tcPr>
            <w:tcW w:w="1258"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373"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315"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373" w:type="dxa"/>
            <w:shd w:val="clear" w:color="auto" w:fill="auto"/>
            <w:vAlign w:val="bottom"/>
          </w:tcPr>
          <w:p w:rsidR="00000000" w:rsidRDefault="00C55CA2">
            <w:pPr>
              <w:autoSpaceDE w:val="0"/>
              <w:snapToGrid w:val="0"/>
              <w:spacing w:line="200" w:lineRule="atLeast"/>
              <w:jc w:val="center"/>
              <w:rPr>
                <w:rFonts w:cs="Times New Roman"/>
                <w:sz w:val="20"/>
                <w:szCs w:val="20"/>
              </w:rPr>
            </w:pPr>
          </w:p>
        </w:tc>
      </w:tr>
      <w:tr w:rsidR="00000000">
        <w:tblPrEx>
          <w:tblCellMar>
            <w:top w:w="0" w:type="dxa"/>
            <w:left w:w="30" w:type="dxa"/>
            <w:bottom w:w="0" w:type="dxa"/>
            <w:right w:w="30" w:type="dxa"/>
          </w:tblCellMar>
        </w:tblPrEx>
        <w:trPr>
          <w:trHeight w:val="268"/>
        </w:trPr>
        <w:tc>
          <w:tcPr>
            <w:tcW w:w="1477"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Ig</w:t>
            </w: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-0.195**</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-0.166</w:t>
            </w:r>
          </w:p>
        </w:tc>
        <w:tc>
          <w:tcPr>
            <w:tcW w:w="131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-0.140</w:t>
            </w:r>
          </w:p>
        </w:tc>
        <w:tc>
          <w:tcPr>
            <w:tcW w:w="1373"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-0.127</w:t>
            </w:r>
          </w:p>
        </w:tc>
      </w:tr>
      <w:tr w:rsidR="00000000">
        <w:tblPrEx>
          <w:tblCellMar>
            <w:top w:w="0" w:type="dxa"/>
            <w:left w:w="30" w:type="dxa"/>
            <w:bottom w:w="0" w:type="dxa"/>
            <w:right w:w="30" w:type="dxa"/>
          </w:tblCellMar>
        </w:tblPrEx>
        <w:trPr>
          <w:trHeight w:val="257"/>
        </w:trPr>
        <w:tc>
          <w:tcPr>
            <w:tcW w:w="1477"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w:t>
            </w:r>
            <w:r>
              <w:rPr>
                <w:rFonts w:cs="Times New Roman"/>
                <w:sz w:val="20"/>
                <w:szCs w:val="20"/>
              </w:rPr>
              <w:t>.0931)</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(0.102)</w:t>
            </w:r>
          </w:p>
        </w:tc>
        <w:tc>
          <w:tcPr>
            <w:tcW w:w="131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(0.0953)</w:t>
            </w:r>
          </w:p>
        </w:tc>
        <w:tc>
          <w:tcPr>
            <w:tcW w:w="1373"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(0.0811)</w:t>
            </w:r>
          </w:p>
        </w:tc>
      </w:tr>
      <w:tr w:rsidR="00000000">
        <w:tblPrEx>
          <w:tblCellMar>
            <w:top w:w="0" w:type="dxa"/>
            <w:left w:w="30" w:type="dxa"/>
            <w:bottom w:w="0" w:type="dxa"/>
            <w:right w:w="30" w:type="dxa"/>
          </w:tblCellMar>
        </w:tblPrEx>
        <w:trPr>
          <w:trHeight w:val="268"/>
        </w:trPr>
        <w:tc>
          <w:tcPr>
            <w:tcW w:w="1477"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GDP</w:t>
            </w: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2.414***</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2.136***</w:t>
            </w:r>
          </w:p>
        </w:tc>
        <w:tc>
          <w:tcPr>
            <w:tcW w:w="131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2.510***</w:t>
            </w:r>
          </w:p>
        </w:tc>
        <w:tc>
          <w:tcPr>
            <w:tcW w:w="1373"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2.469***</w:t>
            </w:r>
          </w:p>
        </w:tc>
      </w:tr>
      <w:tr w:rsidR="00000000">
        <w:tblPrEx>
          <w:tblCellMar>
            <w:top w:w="0" w:type="dxa"/>
            <w:left w:w="30" w:type="dxa"/>
            <w:bottom w:w="0" w:type="dxa"/>
            <w:right w:w="30" w:type="dxa"/>
          </w:tblCellMar>
        </w:tblPrEx>
        <w:trPr>
          <w:trHeight w:val="257"/>
        </w:trPr>
        <w:tc>
          <w:tcPr>
            <w:tcW w:w="1477"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(0.718)</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(0.748)</w:t>
            </w:r>
          </w:p>
        </w:tc>
        <w:tc>
          <w:tcPr>
            <w:tcW w:w="131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(0.696)</w:t>
            </w:r>
          </w:p>
        </w:tc>
        <w:tc>
          <w:tcPr>
            <w:tcW w:w="1373"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(0.698)</w:t>
            </w:r>
          </w:p>
        </w:tc>
      </w:tr>
      <w:tr w:rsidR="00000000">
        <w:tblPrEx>
          <w:tblCellMar>
            <w:top w:w="0" w:type="dxa"/>
            <w:left w:w="30" w:type="dxa"/>
            <w:bottom w:w="0" w:type="dxa"/>
            <w:right w:w="30" w:type="dxa"/>
          </w:tblCellMar>
        </w:tblPrEx>
        <w:trPr>
          <w:trHeight w:val="268"/>
        </w:trPr>
        <w:tc>
          <w:tcPr>
            <w:tcW w:w="1477"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GapGDP</w:t>
            </w: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0.0461</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0.0441</w:t>
            </w:r>
          </w:p>
        </w:tc>
        <w:tc>
          <w:tcPr>
            <w:tcW w:w="131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0.0468</w:t>
            </w:r>
          </w:p>
        </w:tc>
        <w:tc>
          <w:tcPr>
            <w:tcW w:w="1373"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0.0436</w:t>
            </w:r>
          </w:p>
        </w:tc>
      </w:tr>
      <w:tr w:rsidR="00000000">
        <w:tblPrEx>
          <w:tblCellMar>
            <w:top w:w="0" w:type="dxa"/>
            <w:left w:w="30" w:type="dxa"/>
            <w:bottom w:w="0" w:type="dxa"/>
            <w:right w:w="30" w:type="dxa"/>
          </w:tblCellMar>
        </w:tblPrEx>
        <w:trPr>
          <w:trHeight w:val="257"/>
        </w:trPr>
        <w:tc>
          <w:tcPr>
            <w:tcW w:w="1477"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(0.0356)</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(0.0344)</w:t>
            </w:r>
          </w:p>
        </w:tc>
        <w:tc>
          <w:tcPr>
            <w:tcW w:w="131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(0.0315)</w:t>
            </w:r>
          </w:p>
        </w:tc>
        <w:tc>
          <w:tcPr>
            <w:tcW w:w="1373"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(0.0333)</w:t>
            </w:r>
          </w:p>
        </w:tc>
      </w:tr>
      <w:tr w:rsidR="00000000">
        <w:tblPrEx>
          <w:tblCellMar>
            <w:top w:w="0" w:type="dxa"/>
            <w:left w:w="30" w:type="dxa"/>
            <w:bottom w:w="0" w:type="dxa"/>
            <w:right w:w="30" w:type="dxa"/>
          </w:tblCellMar>
        </w:tblPrEx>
        <w:trPr>
          <w:trHeight w:val="257"/>
        </w:trPr>
        <w:tc>
          <w:tcPr>
            <w:tcW w:w="1477"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R</w:t>
            </w: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-0.00495</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-0.0137</w:t>
            </w:r>
          </w:p>
        </w:tc>
        <w:tc>
          <w:tcPr>
            <w:tcW w:w="131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-0.0153</w:t>
            </w:r>
          </w:p>
        </w:tc>
        <w:tc>
          <w:tcPr>
            <w:tcW w:w="1373"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-0.0146</w:t>
            </w:r>
          </w:p>
        </w:tc>
      </w:tr>
      <w:tr w:rsidR="00000000">
        <w:tblPrEx>
          <w:tblCellMar>
            <w:top w:w="0" w:type="dxa"/>
            <w:left w:w="30" w:type="dxa"/>
            <w:bottom w:w="0" w:type="dxa"/>
            <w:right w:w="30" w:type="dxa"/>
          </w:tblCellMar>
        </w:tblPrEx>
        <w:trPr>
          <w:trHeight w:val="257"/>
        </w:trPr>
        <w:tc>
          <w:tcPr>
            <w:tcW w:w="1477"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(0.0147)</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(0.0146)</w:t>
            </w:r>
          </w:p>
        </w:tc>
        <w:tc>
          <w:tcPr>
            <w:tcW w:w="131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(0.0145)</w:t>
            </w:r>
          </w:p>
        </w:tc>
        <w:tc>
          <w:tcPr>
            <w:tcW w:w="1373"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(0.0138)</w:t>
            </w:r>
          </w:p>
        </w:tc>
      </w:tr>
      <w:tr w:rsidR="00000000">
        <w:tblPrEx>
          <w:tblCellMar>
            <w:top w:w="0" w:type="dxa"/>
            <w:left w:w="30" w:type="dxa"/>
            <w:bottom w:w="0" w:type="dxa"/>
            <w:right w:w="30" w:type="dxa"/>
          </w:tblCellMar>
        </w:tblPrEx>
        <w:trPr>
          <w:trHeight w:val="268"/>
        </w:trPr>
        <w:tc>
          <w:tcPr>
            <w:tcW w:w="1477"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INFL</w:t>
            </w: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0.0178</w:t>
            </w:r>
          </w:p>
        </w:tc>
        <w:tc>
          <w:tcPr>
            <w:tcW w:w="1373"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315"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373" w:type="dxa"/>
            <w:shd w:val="clear" w:color="auto" w:fill="auto"/>
            <w:vAlign w:val="bottom"/>
          </w:tcPr>
          <w:p w:rsidR="00000000" w:rsidRDefault="00C55CA2">
            <w:pPr>
              <w:autoSpaceDE w:val="0"/>
              <w:snapToGrid w:val="0"/>
              <w:spacing w:line="200" w:lineRule="atLeast"/>
              <w:jc w:val="center"/>
              <w:rPr>
                <w:rFonts w:cs="Times New Roman"/>
                <w:sz w:val="20"/>
                <w:szCs w:val="20"/>
              </w:rPr>
            </w:pPr>
          </w:p>
        </w:tc>
      </w:tr>
      <w:tr w:rsidR="00000000">
        <w:tblPrEx>
          <w:tblCellMar>
            <w:top w:w="0" w:type="dxa"/>
            <w:left w:w="30" w:type="dxa"/>
            <w:bottom w:w="0" w:type="dxa"/>
            <w:right w:w="30" w:type="dxa"/>
          </w:tblCellMar>
        </w:tblPrEx>
        <w:trPr>
          <w:trHeight w:val="257"/>
        </w:trPr>
        <w:tc>
          <w:tcPr>
            <w:tcW w:w="1477"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(0.0195)</w:t>
            </w:r>
          </w:p>
        </w:tc>
        <w:tc>
          <w:tcPr>
            <w:tcW w:w="1373"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315"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373" w:type="dxa"/>
            <w:shd w:val="clear" w:color="auto" w:fill="auto"/>
            <w:vAlign w:val="bottom"/>
          </w:tcPr>
          <w:p w:rsidR="00000000" w:rsidRDefault="00C55CA2">
            <w:pPr>
              <w:autoSpaceDE w:val="0"/>
              <w:snapToGrid w:val="0"/>
              <w:spacing w:line="200" w:lineRule="atLeast"/>
              <w:jc w:val="center"/>
              <w:rPr>
                <w:rFonts w:cs="Times New Roman"/>
                <w:sz w:val="20"/>
                <w:szCs w:val="20"/>
              </w:rPr>
            </w:pPr>
          </w:p>
        </w:tc>
      </w:tr>
      <w:tr w:rsidR="00000000">
        <w:tblPrEx>
          <w:tblCellMar>
            <w:top w:w="0" w:type="dxa"/>
            <w:left w:w="30" w:type="dxa"/>
            <w:bottom w:w="0" w:type="dxa"/>
            <w:right w:w="30" w:type="dxa"/>
          </w:tblCellMar>
        </w:tblPrEx>
        <w:trPr>
          <w:trHeight w:val="268"/>
        </w:trPr>
        <w:tc>
          <w:tcPr>
            <w:tcW w:w="1477"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CRED</w:t>
            </w: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-0.00935</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-0.0130</w:t>
            </w:r>
          </w:p>
        </w:tc>
        <w:tc>
          <w:tcPr>
            <w:tcW w:w="1315"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373" w:type="dxa"/>
            <w:shd w:val="clear" w:color="auto" w:fill="auto"/>
            <w:vAlign w:val="bottom"/>
          </w:tcPr>
          <w:p w:rsidR="00000000" w:rsidRDefault="00C55CA2">
            <w:pPr>
              <w:autoSpaceDE w:val="0"/>
              <w:snapToGrid w:val="0"/>
              <w:spacing w:line="200" w:lineRule="atLeast"/>
              <w:jc w:val="center"/>
              <w:rPr>
                <w:rFonts w:cs="Times New Roman"/>
                <w:sz w:val="20"/>
                <w:szCs w:val="20"/>
              </w:rPr>
            </w:pPr>
          </w:p>
        </w:tc>
      </w:tr>
      <w:tr w:rsidR="00000000">
        <w:tblPrEx>
          <w:tblCellMar>
            <w:top w:w="0" w:type="dxa"/>
            <w:left w:w="30" w:type="dxa"/>
            <w:bottom w:w="0" w:type="dxa"/>
            <w:right w:w="30" w:type="dxa"/>
          </w:tblCellMar>
        </w:tblPrEx>
        <w:trPr>
          <w:trHeight w:val="257"/>
        </w:trPr>
        <w:tc>
          <w:tcPr>
            <w:tcW w:w="1477"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(0.0208)</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(0.0225)</w:t>
            </w:r>
          </w:p>
        </w:tc>
        <w:tc>
          <w:tcPr>
            <w:tcW w:w="1315" w:type="dxa"/>
            <w:shd w:val="clear" w:color="auto" w:fill="auto"/>
            <w:vAlign w:val="bottom"/>
          </w:tcPr>
          <w:p w:rsidR="00000000" w:rsidRDefault="00C55CA2">
            <w:pPr>
              <w:autoSpaceDE w:val="0"/>
              <w:snapToGrid w:val="0"/>
              <w:spacing w:line="200" w:lineRule="atLeast"/>
              <w:jc w:val="center"/>
              <w:rPr>
                <w:rFonts w:cs="Times New Roman"/>
                <w:sz w:val="20"/>
                <w:szCs w:val="20"/>
              </w:rPr>
            </w:pPr>
          </w:p>
        </w:tc>
        <w:tc>
          <w:tcPr>
            <w:tcW w:w="1373" w:type="dxa"/>
            <w:shd w:val="clear" w:color="auto" w:fill="auto"/>
            <w:vAlign w:val="bottom"/>
          </w:tcPr>
          <w:p w:rsidR="00000000" w:rsidRDefault="00C55CA2">
            <w:pPr>
              <w:autoSpaceDE w:val="0"/>
              <w:snapToGrid w:val="0"/>
              <w:spacing w:line="200" w:lineRule="atLeast"/>
              <w:jc w:val="center"/>
              <w:rPr>
                <w:rFonts w:cs="Times New Roman"/>
                <w:sz w:val="20"/>
                <w:szCs w:val="20"/>
              </w:rPr>
            </w:pPr>
          </w:p>
        </w:tc>
      </w:tr>
      <w:tr w:rsidR="00000000">
        <w:tblPrEx>
          <w:tblCellMar>
            <w:top w:w="0" w:type="dxa"/>
            <w:left w:w="30" w:type="dxa"/>
            <w:bottom w:w="0" w:type="dxa"/>
            <w:right w:w="30" w:type="dxa"/>
          </w:tblCellMar>
        </w:tblPrEx>
        <w:trPr>
          <w:trHeight w:val="268"/>
        </w:trPr>
        <w:tc>
          <w:tcPr>
            <w:tcW w:w="1477"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TOT</w:t>
            </w: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-0.000478</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-0.000508</w:t>
            </w:r>
          </w:p>
        </w:tc>
        <w:tc>
          <w:tcPr>
            <w:tcW w:w="131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-0.000717</w:t>
            </w:r>
          </w:p>
        </w:tc>
        <w:tc>
          <w:tcPr>
            <w:tcW w:w="1373" w:type="dxa"/>
            <w:shd w:val="clear" w:color="auto" w:fill="auto"/>
            <w:vAlign w:val="bottom"/>
          </w:tcPr>
          <w:p w:rsidR="00000000" w:rsidRDefault="00C55CA2">
            <w:pPr>
              <w:autoSpaceDE w:val="0"/>
              <w:snapToGrid w:val="0"/>
              <w:spacing w:line="200" w:lineRule="atLeast"/>
              <w:jc w:val="center"/>
              <w:rPr>
                <w:rFonts w:cs="Times New Roman"/>
                <w:sz w:val="20"/>
                <w:szCs w:val="20"/>
              </w:rPr>
            </w:pPr>
          </w:p>
        </w:tc>
      </w:tr>
      <w:tr w:rsidR="00000000">
        <w:tblPrEx>
          <w:tblCellMar>
            <w:top w:w="0" w:type="dxa"/>
            <w:left w:w="30" w:type="dxa"/>
            <w:bottom w:w="0" w:type="dxa"/>
            <w:right w:w="30" w:type="dxa"/>
          </w:tblCellMar>
        </w:tblPrEx>
        <w:trPr>
          <w:trHeight w:val="257"/>
        </w:trPr>
        <w:tc>
          <w:tcPr>
            <w:tcW w:w="1477"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(0.000606)</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(0.000729)</w:t>
            </w:r>
          </w:p>
        </w:tc>
        <w:tc>
          <w:tcPr>
            <w:tcW w:w="131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(0.000695)</w:t>
            </w:r>
          </w:p>
        </w:tc>
        <w:tc>
          <w:tcPr>
            <w:tcW w:w="1373" w:type="dxa"/>
            <w:shd w:val="clear" w:color="auto" w:fill="auto"/>
            <w:vAlign w:val="bottom"/>
          </w:tcPr>
          <w:p w:rsidR="00000000" w:rsidRDefault="00C55CA2">
            <w:pPr>
              <w:autoSpaceDE w:val="0"/>
              <w:snapToGrid w:val="0"/>
              <w:spacing w:line="200" w:lineRule="atLeast"/>
              <w:jc w:val="center"/>
              <w:rPr>
                <w:rFonts w:cs="Times New Roman"/>
                <w:sz w:val="20"/>
                <w:szCs w:val="20"/>
              </w:rPr>
            </w:pPr>
          </w:p>
        </w:tc>
      </w:tr>
      <w:tr w:rsidR="00000000">
        <w:tblPrEx>
          <w:tblCellMar>
            <w:top w:w="0" w:type="dxa"/>
            <w:left w:w="30" w:type="dxa"/>
            <w:bottom w:w="0" w:type="dxa"/>
            <w:right w:w="30" w:type="dxa"/>
          </w:tblCellMar>
        </w:tblPrEx>
        <w:trPr>
          <w:trHeight w:val="268"/>
        </w:trPr>
        <w:tc>
          <w:tcPr>
            <w:tcW w:w="1477"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OUV</w:t>
            </w: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0.0122</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0.0122</w:t>
            </w:r>
          </w:p>
        </w:tc>
        <w:tc>
          <w:tcPr>
            <w:tcW w:w="131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0.00797</w:t>
            </w:r>
          </w:p>
        </w:tc>
        <w:tc>
          <w:tcPr>
            <w:tcW w:w="1373"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0.00868</w:t>
            </w:r>
          </w:p>
        </w:tc>
      </w:tr>
      <w:tr w:rsidR="00000000">
        <w:tblPrEx>
          <w:tblCellMar>
            <w:top w:w="0" w:type="dxa"/>
            <w:left w:w="30" w:type="dxa"/>
            <w:bottom w:w="0" w:type="dxa"/>
            <w:right w:w="30" w:type="dxa"/>
          </w:tblCellMar>
        </w:tblPrEx>
        <w:trPr>
          <w:trHeight w:val="257"/>
        </w:trPr>
        <w:tc>
          <w:tcPr>
            <w:tcW w:w="1477"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(0.00947)</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(0.00960)</w:t>
            </w:r>
          </w:p>
        </w:tc>
        <w:tc>
          <w:tcPr>
            <w:tcW w:w="131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(0.00958)</w:t>
            </w:r>
          </w:p>
        </w:tc>
        <w:tc>
          <w:tcPr>
            <w:tcW w:w="1373"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(0.00937)</w:t>
            </w:r>
          </w:p>
        </w:tc>
      </w:tr>
      <w:tr w:rsidR="00000000">
        <w:tblPrEx>
          <w:tblCellMar>
            <w:top w:w="0" w:type="dxa"/>
            <w:left w:w="30" w:type="dxa"/>
            <w:bottom w:w="0" w:type="dxa"/>
            <w:right w:w="30" w:type="dxa"/>
          </w:tblCellMar>
        </w:tblPrEx>
        <w:trPr>
          <w:trHeight w:val="268"/>
        </w:trPr>
        <w:tc>
          <w:tcPr>
            <w:tcW w:w="1477"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GOUV</w:t>
            </w: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0.125</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0.211</w:t>
            </w:r>
          </w:p>
        </w:tc>
        <w:tc>
          <w:tcPr>
            <w:tcW w:w="131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-0.122</w:t>
            </w:r>
          </w:p>
        </w:tc>
        <w:tc>
          <w:tcPr>
            <w:tcW w:w="1373"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-0.10</w:t>
            </w:r>
            <w:r>
              <w:rPr>
                <w:rFonts w:cs="Times New Roman"/>
                <w:sz w:val="20"/>
                <w:szCs w:val="20"/>
              </w:rPr>
              <w:t>9</w:t>
            </w:r>
          </w:p>
        </w:tc>
      </w:tr>
      <w:tr w:rsidR="00000000">
        <w:tblPrEx>
          <w:tblCellMar>
            <w:top w:w="0" w:type="dxa"/>
            <w:left w:w="30" w:type="dxa"/>
            <w:bottom w:w="0" w:type="dxa"/>
            <w:right w:w="30" w:type="dxa"/>
          </w:tblCellMar>
        </w:tblPrEx>
        <w:trPr>
          <w:trHeight w:val="257"/>
        </w:trPr>
        <w:tc>
          <w:tcPr>
            <w:tcW w:w="1477"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(0.336)</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(0.368)</w:t>
            </w:r>
          </w:p>
        </w:tc>
        <w:tc>
          <w:tcPr>
            <w:tcW w:w="131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(0.195)</w:t>
            </w:r>
          </w:p>
        </w:tc>
        <w:tc>
          <w:tcPr>
            <w:tcW w:w="1373"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(0.196)</w:t>
            </w:r>
          </w:p>
        </w:tc>
      </w:tr>
      <w:tr w:rsidR="00000000">
        <w:tblPrEx>
          <w:tblCellMar>
            <w:top w:w="0" w:type="dxa"/>
            <w:left w:w="30" w:type="dxa"/>
            <w:bottom w:w="0" w:type="dxa"/>
            <w:right w:w="30" w:type="dxa"/>
          </w:tblCellMar>
        </w:tblPrEx>
        <w:trPr>
          <w:trHeight w:val="268"/>
        </w:trPr>
        <w:tc>
          <w:tcPr>
            <w:tcW w:w="1477"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POLS</w:t>
            </w: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-0.254**</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-0.248**</w:t>
            </w:r>
          </w:p>
        </w:tc>
        <w:tc>
          <w:tcPr>
            <w:tcW w:w="131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-0.258***</w:t>
            </w:r>
          </w:p>
        </w:tc>
        <w:tc>
          <w:tcPr>
            <w:tcW w:w="1373"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-0.247***</w:t>
            </w:r>
          </w:p>
        </w:tc>
      </w:tr>
      <w:tr w:rsidR="00000000">
        <w:tblPrEx>
          <w:tblCellMar>
            <w:top w:w="0" w:type="dxa"/>
            <w:left w:w="30" w:type="dxa"/>
            <w:bottom w:w="0" w:type="dxa"/>
            <w:right w:w="30" w:type="dxa"/>
          </w:tblCellMar>
        </w:tblPrEx>
        <w:trPr>
          <w:trHeight w:val="257"/>
        </w:trPr>
        <w:tc>
          <w:tcPr>
            <w:tcW w:w="1477" w:type="dxa"/>
            <w:shd w:val="clear" w:color="auto" w:fill="auto"/>
            <w:vAlign w:val="bottom"/>
          </w:tcPr>
          <w:p w:rsidR="00000000" w:rsidRDefault="00C55CA2">
            <w:pPr>
              <w:autoSpaceDE w:val="0"/>
              <w:snapToGrid w:val="0"/>
              <w:spacing w:line="200" w:lineRule="atLeast"/>
              <w:rPr>
                <w:rFonts w:cs="Times New Roman"/>
                <w:b/>
                <w:bCs/>
                <w:sz w:val="20"/>
                <w:szCs w:val="20"/>
              </w:rPr>
            </w:pP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(0.0994)</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(0.104)</w:t>
            </w:r>
          </w:p>
        </w:tc>
        <w:tc>
          <w:tcPr>
            <w:tcW w:w="131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(0.0835)</w:t>
            </w:r>
          </w:p>
        </w:tc>
        <w:tc>
          <w:tcPr>
            <w:tcW w:w="1373" w:type="dxa"/>
            <w:shd w:val="clear" w:color="auto" w:fill="auto"/>
            <w:vAlign w:val="bottom"/>
          </w:tcPr>
          <w:p w:rsidR="00000000" w:rsidRDefault="00C55CA2">
            <w:pPr>
              <w:autoSpaceDE w:val="0"/>
              <w:spacing w:line="200" w:lineRule="atLeast"/>
              <w:jc w:val="center"/>
              <w:rPr>
                <w:rFonts w:cs="Times New Roman"/>
                <w:b/>
                <w:bCs/>
                <w:sz w:val="20"/>
                <w:szCs w:val="20"/>
              </w:rPr>
            </w:pPr>
            <w:r>
              <w:rPr>
                <w:rFonts w:cs="Times New Roman"/>
                <w:sz w:val="20"/>
                <w:szCs w:val="20"/>
              </w:rPr>
              <w:t>(0.0783)</w:t>
            </w:r>
          </w:p>
        </w:tc>
      </w:tr>
      <w:tr w:rsidR="00000000">
        <w:tblPrEx>
          <w:tblCellMar>
            <w:top w:w="0" w:type="dxa"/>
            <w:left w:w="30" w:type="dxa"/>
            <w:bottom w:w="0" w:type="dxa"/>
            <w:right w:w="30" w:type="dxa"/>
          </w:tblCellMar>
        </w:tblPrEx>
        <w:trPr>
          <w:trHeight w:val="257"/>
        </w:trPr>
        <w:tc>
          <w:tcPr>
            <w:tcW w:w="1477" w:type="dxa"/>
            <w:shd w:val="clear" w:color="auto" w:fill="auto"/>
            <w:vAlign w:val="bottom"/>
          </w:tcPr>
          <w:p w:rsidR="00000000" w:rsidRDefault="00C55CA2">
            <w:pPr>
              <w:autoSpaceDE w:val="0"/>
              <w:spacing w:line="200" w:lineRule="atLeast"/>
              <w:rPr>
                <w:rFonts w:cs="Times New Roman"/>
                <w:sz w:val="20"/>
                <w:szCs w:val="20"/>
              </w:rPr>
            </w:pPr>
            <w:r>
              <w:rPr>
                <w:rFonts w:cs="Times New Roman"/>
                <w:b/>
                <w:bCs/>
                <w:sz w:val="20"/>
                <w:szCs w:val="20"/>
              </w:rPr>
              <w:t>CONS</w:t>
            </w:r>
          </w:p>
        </w:tc>
        <w:tc>
          <w:tcPr>
            <w:tcW w:w="1258"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-8.158***</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-6.863**</w:t>
            </w:r>
          </w:p>
        </w:tc>
        <w:tc>
          <w:tcPr>
            <w:tcW w:w="1315"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-7.475**</w:t>
            </w:r>
          </w:p>
        </w:tc>
        <w:tc>
          <w:tcPr>
            <w:tcW w:w="1373" w:type="dxa"/>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-7.318**</w:t>
            </w:r>
          </w:p>
        </w:tc>
      </w:tr>
      <w:tr w:rsidR="00000000">
        <w:trPr>
          <w:trHeight w:val="257"/>
        </w:trPr>
        <w:tc>
          <w:tcPr>
            <w:tcW w:w="1477" w:type="dxa"/>
            <w:tcBorders>
              <w:bottom w:val="single" w:sz="8" w:space="0" w:color="000000"/>
            </w:tcBorders>
            <w:shd w:val="clear" w:color="auto" w:fill="auto"/>
            <w:vAlign w:val="bottom"/>
          </w:tcPr>
          <w:p w:rsidR="00000000" w:rsidRDefault="00C55CA2">
            <w:pPr>
              <w:autoSpaceDE w:val="0"/>
              <w:snapToGrid w:val="0"/>
              <w:spacing w:line="200" w:lineRule="atLeast"/>
              <w:rPr>
                <w:rFonts w:cs="Times New Roman"/>
                <w:sz w:val="20"/>
                <w:szCs w:val="20"/>
              </w:rPr>
            </w:pPr>
          </w:p>
        </w:tc>
        <w:tc>
          <w:tcPr>
            <w:tcW w:w="1258" w:type="dxa"/>
            <w:tcBorders>
              <w:bottom w:val="single" w:sz="8" w:space="0" w:color="000000"/>
            </w:tcBorders>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(2.692)</w:t>
            </w:r>
          </w:p>
        </w:tc>
        <w:tc>
          <w:tcPr>
            <w:tcW w:w="1373" w:type="dxa"/>
            <w:tcBorders>
              <w:bottom w:val="single" w:sz="8" w:space="0" w:color="000000"/>
            </w:tcBorders>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(2.785)</w:t>
            </w:r>
          </w:p>
        </w:tc>
        <w:tc>
          <w:tcPr>
            <w:tcW w:w="1315" w:type="dxa"/>
            <w:tcBorders>
              <w:bottom w:val="single" w:sz="8" w:space="0" w:color="000000"/>
            </w:tcBorders>
            <w:shd w:val="clear" w:color="auto" w:fill="auto"/>
            <w:vAlign w:val="bottom"/>
          </w:tcPr>
          <w:p w:rsidR="00000000" w:rsidRDefault="00C55CA2">
            <w:pPr>
              <w:autoSpaceDE w:val="0"/>
              <w:spacing w:line="200" w:lineRule="atLeast"/>
              <w:jc w:val="center"/>
              <w:rPr>
                <w:rFonts w:cs="Times New Roman"/>
                <w:sz w:val="20"/>
                <w:szCs w:val="20"/>
              </w:rPr>
            </w:pPr>
            <w:r>
              <w:rPr>
                <w:rFonts w:cs="Times New Roman"/>
                <w:sz w:val="20"/>
                <w:szCs w:val="20"/>
              </w:rPr>
              <w:t>(2.997)</w:t>
            </w:r>
          </w:p>
        </w:tc>
        <w:tc>
          <w:tcPr>
            <w:tcW w:w="1373" w:type="dxa"/>
            <w:tcBorders>
              <w:bottom w:val="single" w:sz="8" w:space="0" w:color="000000"/>
            </w:tcBorders>
            <w:shd w:val="clear" w:color="auto" w:fill="auto"/>
            <w:vAlign w:val="bottom"/>
          </w:tcPr>
          <w:p w:rsidR="00000000" w:rsidRDefault="00C55CA2">
            <w:pPr>
              <w:autoSpaceDE w:val="0"/>
              <w:spacing w:line="200" w:lineRule="atLeast"/>
              <w:jc w:val="center"/>
              <w:rPr>
                <w:rFonts w:eastAsia="CMR10" w:cs="Times New Roman"/>
                <w:b/>
                <w:bCs/>
                <w:color w:val="000000"/>
                <w:sz w:val="20"/>
                <w:szCs w:val="20"/>
                <w:lang w:eastAsia="en-US" w:bidi="en-US"/>
              </w:rPr>
            </w:pPr>
            <w:r>
              <w:rPr>
                <w:rFonts w:cs="Times New Roman"/>
                <w:sz w:val="20"/>
                <w:szCs w:val="20"/>
              </w:rPr>
              <w:t>(2.902)</w:t>
            </w:r>
          </w:p>
        </w:tc>
      </w:tr>
    </w:tbl>
    <w:p w:rsidR="00000000" w:rsidRDefault="00C55CA2">
      <w:pPr>
        <w:widowControl/>
        <w:spacing w:after="57" w:line="100" w:lineRule="atLeast"/>
        <w:jc w:val="both"/>
        <w:rPr>
          <w:rFonts w:eastAsia="Garamond" w:cs="Times New Roman"/>
          <w:color w:val="000000"/>
          <w:sz w:val="22"/>
          <w:szCs w:val="22"/>
        </w:rPr>
      </w:pPr>
      <w:r>
        <w:rPr>
          <w:rFonts w:eastAsia="CMR10" w:cs="Times New Roman"/>
          <w:b/>
          <w:bCs/>
          <w:color w:val="000000"/>
          <w:sz w:val="20"/>
          <w:szCs w:val="20"/>
          <w:lang w:eastAsia="en-US" w:bidi="en-US"/>
        </w:rPr>
        <w:t>Source</w:t>
      </w:r>
      <w:r>
        <w:rPr>
          <w:rFonts w:eastAsia="CMR10" w:cs="Times New Roman"/>
          <w:color w:val="000000"/>
          <w:sz w:val="20"/>
          <w:szCs w:val="20"/>
          <w:lang w:eastAsia="en-US" w:bidi="en-US"/>
        </w:rPr>
        <w:t xml:space="preserve">: Author, </w:t>
      </w:r>
      <w:r>
        <w:rPr>
          <w:rFonts w:eastAsia="CMR10" w:cs="Times New Roman"/>
          <w:color w:val="000000"/>
          <w:sz w:val="20"/>
          <w:szCs w:val="20"/>
        </w:rPr>
        <w:t>Robust standard errors (in parentheses) and c</w:t>
      </w:r>
      <w:r>
        <w:rPr>
          <w:rFonts w:eastAsia="CMR10" w:cs="Times New Roman"/>
          <w:color w:val="000000"/>
          <w:sz w:val="20"/>
          <w:szCs w:val="20"/>
        </w:rPr>
        <w:t>luster the standard errors at country level *** p&lt;0.01, ** p&lt;0.05, * p&lt;0.1</w:t>
      </w:r>
    </w:p>
    <w:p w:rsidR="00000000" w:rsidRDefault="00C55CA2">
      <w:pPr>
        <w:widowControl/>
        <w:spacing w:line="200" w:lineRule="atLeast"/>
        <w:ind w:firstLine="283"/>
        <w:jc w:val="both"/>
        <w:rPr>
          <w:rFonts w:eastAsia="Garamond" w:cs="Times New Roman"/>
          <w:color w:val="000000"/>
          <w:sz w:val="22"/>
          <w:szCs w:val="22"/>
        </w:rPr>
      </w:pPr>
    </w:p>
    <w:p w:rsidR="00000000" w:rsidRDefault="00C55CA2">
      <w:pPr>
        <w:widowControl/>
        <w:spacing w:line="200" w:lineRule="atLeast"/>
        <w:ind w:firstLine="283"/>
        <w:jc w:val="both"/>
        <w:rPr>
          <w:rFonts w:eastAsia="Garamond" w:cs="Times New Roman"/>
          <w:color w:val="000000"/>
          <w:sz w:val="22"/>
          <w:szCs w:val="22"/>
        </w:rPr>
      </w:pPr>
      <w:r>
        <w:rPr>
          <w:rFonts w:cs="Times New Roman"/>
          <w:b/>
          <w:bCs/>
          <w:color w:val="000000"/>
          <w:sz w:val="28"/>
          <w:szCs w:val="28"/>
          <w:lang w:eastAsia="en-US" w:bidi="en-US"/>
        </w:rPr>
        <w:t xml:space="preserve">5. </w:t>
      </w:r>
      <w:r>
        <w:rPr>
          <w:rFonts w:eastAsia="Times New Roman" w:cs="Times New Roman"/>
          <w:b/>
          <w:bCs/>
          <w:color w:val="000000"/>
          <w:sz w:val="28"/>
          <w:szCs w:val="28"/>
          <w:lang w:eastAsia="en-US" w:bidi="en-US"/>
        </w:rPr>
        <w:t>Conclusion and Policy Implications</w:t>
      </w:r>
    </w:p>
    <w:p w:rsidR="00000000" w:rsidRDefault="00C55CA2">
      <w:pPr>
        <w:widowControl/>
        <w:spacing w:line="200" w:lineRule="atLeast"/>
        <w:ind w:firstLine="283"/>
        <w:jc w:val="both"/>
        <w:rPr>
          <w:rFonts w:cs="Times New Roman"/>
          <w:sz w:val="22"/>
          <w:szCs w:val="22"/>
        </w:rPr>
      </w:pPr>
      <w:r>
        <w:rPr>
          <w:rFonts w:eastAsia="Garamond" w:cs="Times New Roman"/>
          <w:color w:val="000000"/>
          <w:sz w:val="22"/>
          <w:szCs w:val="22"/>
        </w:rPr>
        <w:t>Private investment is recently identified as the important way of developing countries to discuss their sustainable economic growth challenges</w:t>
      </w:r>
      <w:r>
        <w:rPr>
          <w:rFonts w:eastAsia="Garamond" w:cs="Times New Roman"/>
          <w:color w:val="000000"/>
          <w:sz w:val="22"/>
          <w:szCs w:val="22"/>
        </w:rPr>
        <w:t>. While WAEMU region has experienced rapid economic growth compared to the average of African countries, this economic progress has been driven essentially by public investment. The aim, according to policymakers' views, is to create conditions for private</w:t>
      </w:r>
      <w:r>
        <w:rPr>
          <w:rFonts w:eastAsia="Garamond" w:cs="Times New Roman"/>
          <w:color w:val="000000"/>
          <w:sz w:val="22"/>
          <w:szCs w:val="22"/>
        </w:rPr>
        <w:t xml:space="preserve"> investment development and more sustainable economic growth. It is therefore important to look into ways that can stimulate private sector and private investment of this area.</w:t>
      </w:r>
    </w:p>
    <w:p w:rsidR="00000000" w:rsidRDefault="00C55CA2">
      <w:pPr>
        <w:widowControl/>
        <w:spacing w:line="200" w:lineRule="atLeast"/>
        <w:ind w:firstLine="283"/>
        <w:jc w:val="both"/>
        <w:rPr>
          <w:rFonts w:cs="Times New Roman"/>
          <w:sz w:val="22"/>
          <w:szCs w:val="22"/>
        </w:rPr>
      </w:pPr>
      <w:r>
        <w:rPr>
          <w:rFonts w:cs="Times New Roman"/>
          <w:sz w:val="22"/>
          <w:szCs w:val="22"/>
        </w:rPr>
        <w:t>To contribute to this reflection, this paper investigates the main determinants</w:t>
      </w:r>
      <w:r>
        <w:rPr>
          <w:rFonts w:cs="Times New Roman"/>
          <w:sz w:val="22"/>
          <w:szCs w:val="22"/>
        </w:rPr>
        <w:t xml:space="preserve"> of private investment in this region with a dynamic approach by exploring both short-run and long-run factors in this zone, and by using recent estimators developed in the econometric literature.</w:t>
      </w:r>
    </w:p>
    <w:p w:rsidR="00000000" w:rsidRDefault="00C55CA2">
      <w:pPr>
        <w:widowControl/>
        <w:spacing w:line="200" w:lineRule="atLeast"/>
        <w:ind w:firstLine="283"/>
        <w:jc w:val="both"/>
        <w:rPr>
          <w:b/>
          <w:bCs/>
          <w:sz w:val="28"/>
          <w:szCs w:val="28"/>
        </w:rPr>
      </w:pPr>
      <w:r>
        <w:rPr>
          <w:rFonts w:cs="Times New Roman"/>
          <w:sz w:val="22"/>
          <w:szCs w:val="22"/>
        </w:rPr>
        <w:t xml:space="preserve">Results suggest that, in the short-run, private investment </w:t>
      </w:r>
      <w:r>
        <w:rPr>
          <w:rFonts w:cs="Times New Roman"/>
          <w:sz w:val="22"/>
          <w:szCs w:val="22"/>
        </w:rPr>
        <w:t>in the WAEMU region is determined by the aggregate demand conditions: gross domestic product and output gap, while, in the long-run, it is determined by gross domestic product, and political stability. The short-run elasticity of gross domestic product and</w:t>
      </w:r>
      <w:r>
        <w:rPr>
          <w:rFonts w:cs="Times New Roman"/>
          <w:sz w:val="22"/>
          <w:szCs w:val="22"/>
        </w:rPr>
        <w:t xml:space="preserve"> output gap are statistically significant and average to 5.7 and 0.06, respectively. The long-run elasticity of gross domestic product and </w:t>
      </w:r>
      <w:r>
        <w:rPr>
          <w:rFonts w:cs="Times New Roman"/>
          <w:sz w:val="22"/>
          <w:szCs w:val="22"/>
        </w:rPr>
        <w:lastRenderedPageBreak/>
        <w:t xml:space="preserve">the semi-elasticity of political stability are statistically significant and average to 2.4 and -0.25, respectively. </w:t>
      </w:r>
      <w:r>
        <w:rPr>
          <w:rFonts w:cs="Times New Roman"/>
          <w:sz w:val="22"/>
          <w:szCs w:val="22"/>
        </w:rPr>
        <w:t>As policy implications, these finds imply that, to promote private investment in the WAEMU zone, there is a need among others for more proper design and implementation of aggregate demand management policies, and political framework stability.</w:t>
      </w:r>
    </w:p>
    <w:p w:rsidR="00000000" w:rsidRDefault="00C55CA2">
      <w:pPr>
        <w:pStyle w:val="BodyText"/>
        <w:widowControl/>
        <w:spacing w:after="0" w:line="200" w:lineRule="atLeast"/>
        <w:ind w:firstLine="283"/>
        <w:jc w:val="both"/>
        <w:rPr>
          <w:rFonts w:eastAsia="TimesNewRomanPSMT" w:cs="Times New Roman"/>
          <w:color w:val="000000"/>
          <w:sz w:val="22"/>
          <w:szCs w:val="22"/>
          <w:lang w:val="en-GB"/>
        </w:rPr>
      </w:pPr>
      <w:r>
        <w:rPr>
          <w:b/>
          <w:bCs/>
          <w:sz w:val="28"/>
          <w:szCs w:val="28"/>
        </w:rPr>
        <w:t>References</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A</w:t>
      </w:r>
      <w:r>
        <w:rPr>
          <w:rFonts w:eastAsia="TimesNewRomanPSMT" w:cs="Times New Roman"/>
          <w:color w:val="000000"/>
          <w:sz w:val="22"/>
          <w:szCs w:val="22"/>
          <w:lang w:val="en-GB"/>
        </w:rPr>
        <w:t>restis, P. (2009). The new consensus in macroeconomics: a critical appraisal. In Macroeconomic Theory and Macroeconomic Pedagogy, pp. 100-117. doi.10.1007/978-0-230-29166-9_6</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Athukorala, P. C. (1998). Interest Rates, Saving, and Investment: Evidence from I</w:t>
      </w:r>
      <w:r>
        <w:rPr>
          <w:rFonts w:eastAsia="TimesNewRomanPSMT" w:cs="Times New Roman"/>
          <w:color w:val="000000"/>
          <w:sz w:val="22"/>
          <w:szCs w:val="22"/>
          <w:lang w:val="en-GB"/>
        </w:rPr>
        <w:t>ndian. Oxford Development Studies, Vol.26, No-2, pp. 153-169. doi.abs.10.1080/13600819808424151</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England, B. O. (2005). The Bank of England Quarterly Model. London: Bank of England.</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Bernanke B. (1983). Irreversibility, Uncertainty and Cyclical Investment. Q</w:t>
      </w:r>
      <w:r>
        <w:rPr>
          <w:rFonts w:eastAsia="TimesNewRomanPSMT" w:cs="Times New Roman"/>
          <w:color w:val="000000"/>
          <w:sz w:val="22"/>
          <w:szCs w:val="22"/>
          <w:lang w:val="en-GB"/>
        </w:rPr>
        <w:t>uarterly Journal of Economics, Vol. 98, pp. 85-106. doi.10.3386/w0502</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 xml:space="preserve">Bosco, N. J., &amp; Emerence, U. (2016). Effect of GDP, Interest Rate and Inflation on Private Investment in Rwanda. </w:t>
      </w:r>
      <w:r>
        <w:rPr>
          <w:rFonts w:eastAsia="TimesNewRomanPSMT" w:cs="Times New Roman"/>
          <w:i/>
          <w:iCs/>
          <w:color w:val="000000"/>
          <w:sz w:val="22"/>
          <w:szCs w:val="22"/>
          <w:lang w:val="en-GB"/>
        </w:rPr>
        <w:t>International Academic Journal of Economics</w:t>
      </w:r>
      <w:r>
        <w:rPr>
          <w:rFonts w:eastAsia="TimesNewRomanPSMT" w:cs="Times New Roman"/>
          <w:color w:val="000000"/>
          <w:sz w:val="22"/>
          <w:szCs w:val="22"/>
          <w:lang w:val="en-GB"/>
        </w:rPr>
        <w:t>, 3(1), 1-17.</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Blackburne, E. F</w:t>
      </w:r>
      <w:r>
        <w:rPr>
          <w:rFonts w:eastAsia="TimesNewRomanPSMT" w:cs="Times New Roman"/>
          <w:color w:val="000000"/>
          <w:sz w:val="22"/>
          <w:szCs w:val="22"/>
          <w:lang w:val="en-GB"/>
        </w:rPr>
        <w:t>. and M. E. Frank. (2007). Estimation of Nonstationary Heterogeneous Panels. Stata Journal, 7, pp. 197-208.</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Choi, I. (2001). Unit Root Tests for Panel Data. Journal of International Money and Finance, Vol.   20, pp. 249‐72. doi.10.1016/s0261-5606(00)00048-</w:t>
      </w:r>
      <w:r>
        <w:rPr>
          <w:rFonts w:eastAsia="TimesNewRomanPSMT" w:cs="Times New Roman"/>
          <w:color w:val="000000"/>
          <w:sz w:val="22"/>
          <w:szCs w:val="22"/>
          <w:lang w:val="en-GB"/>
        </w:rPr>
        <w:t>6</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 xml:space="preserve">Chudik, A. and M. H. Pesaran . (2015). Common correlated effects estimation of heterogeneous dynamic panel data models with weakly exogenous regressors. </w:t>
      </w:r>
      <w:r>
        <w:rPr>
          <w:rFonts w:eastAsia="TimesNewRomanPSMT" w:cs="Times New Roman"/>
          <w:i/>
          <w:iCs/>
          <w:color w:val="000000"/>
          <w:sz w:val="22"/>
          <w:szCs w:val="22"/>
          <w:lang w:val="en-GB"/>
        </w:rPr>
        <w:t>Journal of Econometrics</w:t>
      </w:r>
      <w:r>
        <w:rPr>
          <w:rFonts w:eastAsia="TimesNewRomanPSMT" w:cs="Times New Roman"/>
          <w:color w:val="000000"/>
          <w:sz w:val="22"/>
          <w:szCs w:val="22"/>
          <w:lang w:val="en-GB"/>
        </w:rPr>
        <w:t>, 188, 393-420. doi.10.2139/ssrn.2316329</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 xml:space="preserve">Cuong, N. V. (2013). Do minimum wage </w:t>
      </w:r>
      <w:r>
        <w:rPr>
          <w:rFonts w:eastAsia="TimesNewRomanPSMT" w:cs="Times New Roman"/>
          <w:color w:val="000000"/>
          <w:sz w:val="22"/>
          <w:szCs w:val="22"/>
          <w:lang w:val="en-GB"/>
        </w:rPr>
        <w:t>increases matter to firm profitability? The case of Vietnam. Journal of International Development. doi.10.1002/jid.2920</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 xml:space="preserve">Dhakal, D., Nag, R., Pradhan, G., &amp; Upadhyaya, K. P. (2010). Exchange rate volatility and foreign direct investment: Evidence from East </w:t>
      </w:r>
      <w:r>
        <w:rPr>
          <w:rFonts w:eastAsia="TimesNewRomanPSMT" w:cs="Times New Roman"/>
          <w:color w:val="000000"/>
          <w:sz w:val="22"/>
          <w:szCs w:val="22"/>
          <w:lang w:val="en-GB"/>
        </w:rPr>
        <w:t>Asian countries. The International Business &amp; Economics Research Journal, 9(7), 121. doi.10.19030/iber.v9i7.603</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Dixit, A. K., &amp; Pindyck, R. S. (1994). Investment under uncertainty. Princeton university press. doi.10.2307/2329279</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Dje P. (2007). Les determin</w:t>
      </w:r>
      <w:r>
        <w:rPr>
          <w:rFonts w:eastAsia="TimesNewRomanPSMT" w:cs="Times New Roman"/>
          <w:color w:val="000000"/>
          <w:sz w:val="22"/>
          <w:szCs w:val="22"/>
          <w:lang w:val="en-GB"/>
        </w:rPr>
        <w:t>ants des investissements directs etrangers dans les pays en developpement : leçons pour l’UEMOA. Banque Centrale des Etats de l'Afrique de l'Ouest. Document d’Etude et de Recherche, N° DER/07/03.</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Dramani L. &amp; Laye, O. (2008). Les déterminants de l'investis</w:t>
      </w:r>
      <w:r>
        <w:rPr>
          <w:rFonts w:eastAsia="TimesNewRomanPSMT" w:cs="Times New Roman"/>
          <w:color w:val="000000"/>
          <w:sz w:val="22"/>
          <w:szCs w:val="22"/>
          <w:lang w:val="en-GB"/>
        </w:rPr>
        <w:t>sement privé au Sénégal: une approche VAR structurel. Republique du Senegal, Ministere de l'Economie et des Finances.</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Feng, Y. (2001). Political freedom, political instability, and policy uncertainty: A study of political institutions and private investmen</w:t>
      </w:r>
      <w:r>
        <w:rPr>
          <w:rFonts w:eastAsia="TimesNewRomanPSMT" w:cs="Times New Roman"/>
          <w:color w:val="000000"/>
          <w:sz w:val="22"/>
          <w:szCs w:val="22"/>
          <w:lang w:val="en-GB"/>
        </w:rPr>
        <w:t>t in developing countries. International Studies Quarterly, 45(2), 271-294. doi.10.1111/0020-8833.00191</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lastRenderedPageBreak/>
        <w:t>Ghura, D., &amp; Goodwin, B. (2000). Determinants of private investment: a cross-regional empirical investigation. Applied Economics, 32(14), 1819-1829. doi</w:t>
      </w:r>
      <w:r>
        <w:rPr>
          <w:rFonts w:eastAsia="TimesNewRomanPSMT" w:cs="Times New Roman"/>
          <w:color w:val="000000"/>
          <w:sz w:val="22"/>
          <w:szCs w:val="22"/>
          <w:lang w:val="en-GB"/>
        </w:rPr>
        <w:t>.10.1080/000368400425044</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Greene, J., &amp; Villanueva, D. (1991). Private investment in developing countries: an empirical analysis. Staff Papers, 38(1), 33-58. doi.10.2307/3867034</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Guillaumont, P., Jeanneney, S. G., &amp; Brun, J. F. (1999). How instability lowers</w:t>
      </w:r>
      <w:r>
        <w:rPr>
          <w:rFonts w:eastAsia="TimesNewRomanPSMT" w:cs="Times New Roman"/>
          <w:color w:val="000000"/>
          <w:sz w:val="22"/>
          <w:szCs w:val="22"/>
          <w:lang w:val="en-GB"/>
        </w:rPr>
        <w:t xml:space="preserve"> African growth. Journal of African Economies, 8(1), 87-107. doi.10.1093/jae/8.1.87</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Guimaraes, R. and O. Unteroberdoerster. (2006). What’s Driving Private Investment in Malaysia? Aggregate Trends and Firm-Level Evidence. IMF Working Paper, No. 06/90. Washi</w:t>
      </w:r>
      <w:r>
        <w:rPr>
          <w:rFonts w:eastAsia="TimesNewRomanPSMT" w:cs="Times New Roman"/>
          <w:color w:val="000000"/>
          <w:sz w:val="22"/>
          <w:szCs w:val="22"/>
          <w:lang w:val="en-GB"/>
        </w:rPr>
        <w:t>ngton, D.C.: International Monetary Fund. doi.10.5089/9781451864502.001</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Haepp, T., &amp; Lin, C. (2015). How Does the Minimum Wage Affect Firm Investments in Fixed and Human Capital? Evidence from China. In Society of Labor Economists-European Association of L</w:t>
      </w:r>
      <w:r>
        <w:rPr>
          <w:rFonts w:eastAsia="TimesNewRomanPSMT" w:cs="Times New Roman"/>
          <w:color w:val="000000"/>
          <w:sz w:val="22"/>
          <w:szCs w:val="22"/>
          <w:lang w:val="en-GB"/>
        </w:rPr>
        <w:t>abour Economists World Conference, Montreal, Canada.</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Hartman, Richard. (1972). The Effects of Price and Cost Uncertainty on Investment. Journal of Economic Theory 5(2): 258– 66. doi. 10.1016/0022-0531(72)90105-6</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Im, K. S., M. H. Pesaran, &amp; Y. Shin. (2003).</w:t>
      </w:r>
      <w:r>
        <w:rPr>
          <w:rFonts w:eastAsia="TimesNewRomanPSMT" w:cs="Times New Roman"/>
          <w:color w:val="000000"/>
          <w:sz w:val="22"/>
          <w:szCs w:val="22"/>
          <w:lang w:val="en-GB"/>
        </w:rPr>
        <w:t xml:space="preserve"> Testing for Unit Roots in Heterogeneous Panels. Journal of Econometrics, 115: 53-74. doi.10.1016/s0304-4076(03)00092-7</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 xml:space="preserve">IMF. (1983). Interest rates policies in developing countries. Occasional paper. Research Department of The International Monetary Fund. </w:t>
      </w:r>
      <w:r>
        <w:rPr>
          <w:rFonts w:eastAsia="TimesNewRomanPSMT" w:cs="Times New Roman"/>
          <w:color w:val="000000"/>
          <w:sz w:val="22"/>
          <w:szCs w:val="22"/>
          <w:lang w:val="en-GB"/>
        </w:rPr>
        <w:t>doi.10.5089/9781557751041.084</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Jorgenson, D. W. (1963). Capital theory and investment behavior. The American Economic Review, 53(2), 247-259.</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Keho, Y. (2016). Impact of Budget Deficit on Private Consumption in WAEMU Countries: Evidence from Pooled Mean Grou</w:t>
      </w:r>
      <w:r>
        <w:rPr>
          <w:rFonts w:eastAsia="TimesNewRomanPSMT" w:cs="Times New Roman"/>
          <w:color w:val="000000"/>
          <w:sz w:val="22"/>
          <w:szCs w:val="22"/>
          <w:lang w:val="en-GB"/>
        </w:rPr>
        <w:t>p Estimation. International Journal of Economics and Finance, 8(3), 189. doi.10.5539/ijef.v8n3p189</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Khurshid A. (2015). The effect of interest rate on investment; Empirical evidence of Jiangsu Province, China. Journal of International Studies, Vol, 8(1). do</w:t>
      </w:r>
      <w:r>
        <w:rPr>
          <w:rFonts w:eastAsia="TimesNewRomanPSMT" w:cs="Times New Roman"/>
          <w:color w:val="000000"/>
          <w:sz w:val="22"/>
          <w:szCs w:val="22"/>
          <w:lang w:val="en-GB"/>
        </w:rPr>
        <w:t>i.10.14254/2071-8330.2015/8-1/7</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lastRenderedPageBreak/>
        <w:t>Kinda T. (2008): Les déterminants des flux de capitaux privés dans l’UMOA: Une approche empirique sur données de panel. Revue de la Stabilité Financière dans l'Union Economique et Monétaire Ouest-Africaine, Vol. 2, pp. 41-68</w:t>
      </w:r>
      <w:r>
        <w:rPr>
          <w:rFonts w:eastAsia="TimesNewRomanPSMT" w:cs="Times New Roman"/>
          <w:color w:val="000000"/>
          <w:sz w:val="22"/>
          <w:szCs w:val="22"/>
          <w:lang w:val="en-GB"/>
        </w:rPr>
        <w:t>.</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Koukpo M. (2005). Analyse des déterminants des investissements directs étrangers dans les pays de l'UEMOA. Institut Africain de Développement Economique et de Planification.</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Lugo, O. A. M. (2008). The differential impact of real interest rates and credit</w:t>
      </w:r>
      <w:r>
        <w:rPr>
          <w:rFonts w:eastAsia="TimesNewRomanPSMT" w:cs="Times New Roman"/>
          <w:color w:val="000000"/>
          <w:sz w:val="22"/>
          <w:szCs w:val="22"/>
          <w:lang w:val="en-GB"/>
        </w:rPr>
        <w:t xml:space="preserve"> availability on private investment: evidence from Venezuela. In Participants in the meeting.</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Levin, A., Lin, C. F. &amp; C. Chu. (2002). Unit Root Tests in Panel data: Asymptotic and Finite‐sample Properties. Journal of Econometrics, Vol. 108, pp. 1‐24. doi.1</w:t>
      </w:r>
      <w:r>
        <w:rPr>
          <w:rFonts w:eastAsia="TimesNewRomanPSMT" w:cs="Times New Roman"/>
          <w:color w:val="000000"/>
          <w:sz w:val="22"/>
          <w:szCs w:val="22"/>
          <w:lang w:val="en-GB"/>
        </w:rPr>
        <w:t>0.1016/s0304-4076(01)00098-7</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Maddala, G.S. &amp; Wu, S. (1999). A Comparative Study of Unit Root Tests with Panel Data and a New Simple Test. Oxford Bulletin of Economics and Statistics, Vol. 61, pp. 631-52. doi.10.1111/1468-0084.61.s1.13</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Mankiw, N. G., Phelps</w:t>
      </w:r>
      <w:r>
        <w:rPr>
          <w:rFonts w:eastAsia="TimesNewRomanPSMT" w:cs="Times New Roman"/>
          <w:color w:val="000000"/>
          <w:sz w:val="22"/>
          <w:szCs w:val="22"/>
          <w:lang w:val="en-GB"/>
        </w:rPr>
        <w:t>, E. S., &amp; Romer, P. M. (1995). The growth of nations. Brookings papers on economic activity, 1995(1), 275-326. doi.10.2307/2534576</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Manyong, V. M. (2015). Agriculture in Nigeria: identifying opportunities for increased commercialization and investment. Jou</w:t>
      </w:r>
      <w:r>
        <w:rPr>
          <w:rFonts w:eastAsia="TimesNewRomanPSMT" w:cs="Times New Roman"/>
          <w:color w:val="000000"/>
          <w:sz w:val="22"/>
          <w:szCs w:val="22"/>
          <w:lang w:val="en-GB"/>
        </w:rPr>
        <w:t>rnal of "Naukovedenie" volume 7 issue 1. doi.10.15862/66eangvn115</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Mbaye, A. (2006). Les Déterminants de l'investissement privé dans les pays de l'UEMOA. Institut Africain de Développement Economique et de Planification.</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McKinnon, R., I. (1973). Money &amp; Cap</w:t>
      </w:r>
      <w:r>
        <w:rPr>
          <w:rFonts w:eastAsia="TimesNewRomanPSMT" w:cs="Times New Roman"/>
          <w:color w:val="000000"/>
          <w:sz w:val="22"/>
          <w:szCs w:val="22"/>
          <w:lang w:val="en-GB"/>
        </w:rPr>
        <w:t>ital in Economic Development. Washington, DC: The Brookings Institution. doi.10.2307/40201473</w:t>
      </w:r>
    </w:p>
    <w:p w:rsidR="00000000" w:rsidRDefault="00C55CA2">
      <w:pPr>
        <w:spacing w:line="200" w:lineRule="atLeast"/>
        <w:ind w:left="283" w:hanging="283"/>
        <w:rPr>
          <w:rFonts w:eastAsia="TimesNewRomanPSMT" w:cs="Times New Roman"/>
          <w:color w:val="000000"/>
          <w:sz w:val="22"/>
          <w:szCs w:val="22"/>
          <w:lang w:val="en-GB"/>
        </w:rPr>
      </w:pPr>
      <w:r>
        <w:rPr>
          <w:rFonts w:eastAsia="TimesNewRomanPSMT" w:cs="Times New Roman"/>
          <w:color w:val="000000"/>
          <w:sz w:val="22"/>
          <w:szCs w:val="22"/>
          <w:lang w:val="en-GB"/>
        </w:rPr>
        <w:t>McNabb, K. and P. LeMay-Boucher. (2014). Tax Structures, Economic Growth and Development. ICTD Working Paper, 22. doi.10.2139/ssrn.2496470</w:t>
      </w:r>
    </w:p>
    <w:p w:rsidR="00000000" w:rsidRDefault="00C55CA2">
      <w:pPr>
        <w:spacing w:line="200" w:lineRule="atLeast"/>
        <w:ind w:left="283" w:hanging="283"/>
        <w:rPr>
          <w:rFonts w:eastAsia="TimesNewRomanPSMT" w:cs="Times New Roman"/>
          <w:color w:val="000000"/>
          <w:sz w:val="22"/>
          <w:szCs w:val="22"/>
          <w:lang w:val="en-GB"/>
        </w:rPr>
      </w:pPr>
      <w:r>
        <w:rPr>
          <w:rFonts w:eastAsia="TimesNewRomanPSMT" w:cs="Times New Roman"/>
          <w:color w:val="000000"/>
          <w:sz w:val="22"/>
          <w:szCs w:val="22"/>
          <w:lang w:val="en-GB"/>
        </w:rPr>
        <w:t xml:space="preserve">Munir, R., Awan, R. U. </w:t>
      </w:r>
      <w:r>
        <w:rPr>
          <w:rFonts w:eastAsia="TimesNewRomanPSMT" w:cs="Times New Roman"/>
          <w:color w:val="000000"/>
          <w:sz w:val="22"/>
          <w:szCs w:val="22"/>
          <w:lang w:val="en-GB"/>
        </w:rPr>
        <w:t>&amp; Hussain, Z. (2010). Investment, Savings, Interest Rate and Bank Credit to the Private Sector Nexus in Pakistan. International Journal of Marketing Studies, 2(1), 140. doi.10.5539/ijms.v2n1p140</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 xml:space="preserve">Osundina, J.A. and Osundina, C. K. (2014).  Interest Rate as </w:t>
      </w:r>
      <w:r>
        <w:rPr>
          <w:rFonts w:eastAsia="TimesNewRomanPSMT" w:cs="Times New Roman"/>
          <w:color w:val="000000"/>
          <w:sz w:val="22"/>
          <w:szCs w:val="22"/>
          <w:lang w:val="en-GB"/>
        </w:rPr>
        <w:t>a Link to Investment Decision in Nigeria. IOSR Journal of Economics and Finance. Volume 2, Issue 4, pp 08-14. doi.10.9790/5933-0240814</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Ouattara, B. (2004). Modelling the long run determinants of private investment in Senegal. Centre for Research in Economi</w:t>
      </w:r>
      <w:r>
        <w:rPr>
          <w:rFonts w:eastAsia="TimesNewRomanPSMT" w:cs="Times New Roman"/>
          <w:color w:val="000000"/>
          <w:sz w:val="22"/>
          <w:szCs w:val="22"/>
          <w:lang w:val="en-GB"/>
        </w:rPr>
        <w:t>c Development and International Trade, University of Nottingham.</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Persson, T. &amp; Tabellini, G. (2006). Democratic capital: The nexus of political and economic change, No. w12175. National Bureau of Economic Research. doi.10.3386/w12175</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Pesaran, M. H., &amp; R. P</w:t>
      </w:r>
      <w:r>
        <w:rPr>
          <w:rFonts w:eastAsia="TimesNewRomanPSMT" w:cs="Times New Roman"/>
          <w:color w:val="000000"/>
          <w:sz w:val="22"/>
          <w:szCs w:val="22"/>
          <w:lang w:val="en-GB"/>
        </w:rPr>
        <w:t>. Smith. (1995). Estimating Long-run Relationships From Dynamic Heterogeneous Panels. Journal of Econometrics 68: 79-113. doi.10.1016/0304-4076(94)01644-f</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Pesaran, M. H., Y. Shin, &amp; R. P. Smith. (1997). Estimating Long-run Relationships in Dynamic Heteroge</w:t>
      </w:r>
      <w:r>
        <w:rPr>
          <w:rFonts w:eastAsia="TimesNewRomanPSMT" w:cs="Times New Roman"/>
          <w:color w:val="000000"/>
          <w:sz w:val="22"/>
          <w:szCs w:val="22"/>
          <w:lang w:val="en-GB"/>
        </w:rPr>
        <w:t xml:space="preserve">neous Panels. DAE Working Papers </w:t>
      </w:r>
      <w:r>
        <w:rPr>
          <w:rFonts w:eastAsia="TimesNewRomanPSMT" w:cs="Times New Roman"/>
          <w:color w:val="000000"/>
          <w:sz w:val="22"/>
          <w:szCs w:val="22"/>
          <w:lang w:val="en-GB"/>
        </w:rPr>
        <w:lastRenderedPageBreak/>
        <w:t>Amalgamated Series 9721. doi.10.1016/0304-4076(94)01644-f</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Pesaran, M. H., Y. Shin, &amp; R. P. Smith. (1999). Pooled Mean Group Estimation of Dynamic Heterogeneous Panels. Journal of the American Statistical Association 94: 621</w:t>
      </w:r>
      <w:r>
        <w:rPr>
          <w:rFonts w:eastAsia="TimesNewRomanPSMT" w:cs="Times New Roman"/>
          <w:color w:val="000000"/>
          <w:sz w:val="22"/>
          <w:szCs w:val="22"/>
          <w:lang w:val="en-GB"/>
        </w:rPr>
        <w:t>-634. doi.10.2307/2670182</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 xml:space="preserve">Pesaran, M. (2006). Estimation and inference in large heterogeneous panels with a multifactor error structure. Econometrica, 74, 967-1012. </w:t>
      </w:r>
      <w:r>
        <w:rPr>
          <w:rFonts w:eastAsia="TimesNewRomanPSMT" w:cs="Times New Roman"/>
          <w:color w:val="000000"/>
          <w:sz w:val="22"/>
          <w:szCs w:val="22"/>
          <w:lang w:val="en-GB"/>
        </w:rPr>
        <w:t>doi.10.1111/j.1468-0262.2006.00692.x</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Pischke, J. S. (2005). Labor market institutions, wage</w:t>
      </w:r>
      <w:r>
        <w:rPr>
          <w:rFonts w:eastAsia="TimesNewRomanPSMT" w:cs="Times New Roman"/>
          <w:color w:val="000000"/>
          <w:sz w:val="22"/>
          <w:szCs w:val="22"/>
          <w:lang w:val="en-GB"/>
        </w:rPr>
        <w:t>s, and investment: Review and implications. CESifo Economic Studies, 51(1), 47-75.</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United Nations. (2000). Report of the International Conference on Financing for Development, Monterrey.</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Rama, M. (2001). The Consequences of doubling the minimum wage: The c</w:t>
      </w:r>
      <w:r>
        <w:rPr>
          <w:rFonts w:eastAsia="TimesNewRomanPSMT" w:cs="Times New Roman"/>
          <w:color w:val="000000"/>
          <w:sz w:val="22"/>
          <w:szCs w:val="22"/>
          <w:lang w:val="en-GB"/>
        </w:rPr>
        <w:t>ase of Indonesia. Industrial and Labor Relations Review 54(4): 864–881. doi.10.2307/2696117</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Roache, S. K. (2006). Domestic Investment and the Cost of Capital in the Caribbean. IMF Working Paper 06/152. Washington, D.C.: International Monetary Fund. doi.10.</w:t>
      </w:r>
      <w:r>
        <w:rPr>
          <w:rFonts w:eastAsia="TimesNewRomanPSMT" w:cs="Times New Roman"/>
          <w:color w:val="000000"/>
          <w:sz w:val="22"/>
          <w:szCs w:val="22"/>
          <w:lang w:val="en-GB"/>
        </w:rPr>
        <w:t>5089/9781451864120.001</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Serven, L. (2003). Real-exchange-rate uncertainty and private investment in LDCs. Review of Economics and Statistics, 85(1), 212-218. doi.10.1162/rest.2003.85.1.212</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Shaw, E. (1973). Financial Deepening in Economic Development. New Yo</w:t>
      </w:r>
      <w:r>
        <w:rPr>
          <w:rFonts w:eastAsia="TimesNewRomanPSMT" w:cs="Times New Roman"/>
          <w:color w:val="000000"/>
          <w:sz w:val="22"/>
          <w:szCs w:val="22"/>
          <w:lang w:val="en-GB"/>
        </w:rPr>
        <w:t>rk: Oxford University Press.</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Stasavage, D. (2000). Private investment and political uncertainty. Vol. 2000</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Svensson J. (1998). Investment, Property Rights and Political Instability: Theory and Evidence. European Economic Review. doi.10.1016/s0014-2921(97)0</w:t>
      </w:r>
      <w:r>
        <w:rPr>
          <w:rFonts w:eastAsia="TimesNewRomanPSMT" w:cs="Times New Roman"/>
          <w:color w:val="000000"/>
          <w:sz w:val="22"/>
          <w:szCs w:val="22"/>
          <w:lang w:val="en-GB"/>
        </w:rPr>
        <w:t>0081-0</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Wai, U. T., &amp; Wong, C. H. (1982). Determinants of private investment in developing countries. The Journal of Development Studies, 19(1), 19-36. doi.10.1080/00220388208421848</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Westerlund, J. (2007). Testing for Error Correction in Panel Data. Oxford B</w:t>
      </w:r>
      <w:r>
        <w:rPr>
          <w:rFonts w:eastAsia="TimesNewRomanPSMT" w:cs="Times New Roman"/>
          <w:color w:val="000000"/>
          <w:sz w:val="22"/>
          <w:szCs w:val="22"/>
          <w:lang w:val="en-GB"/>
        </w:rPr>
        <w:t>ulletin of Economics and Statistics 69:  709–748. doi.10.1111/j.1468-0084.2007.00477.x</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Wicksell, K. (1898), Geldzins und Güterpreise, Verlag Gustav Fischer: Frankfurt. English translation in R.F. Kahn (1965), Interest and Prices, Kelley: New York. doi.10.2</w:t>
      </w:r>
      <w:r>
        <w:rPr>
          <w:rFonts w:eastAsia="TimesNewRomanPSMT" w:cs="Times New Roman"/>
          <w:color w:val="000000"/>
          <w:sz w:val="22"/>
          <w:szCs w:val="22"/>
          <w:lang w:val="en-GB"/>
        </w:rPr>
        <w:t>307/2956550</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White, S. (2005). Enhancing private investment for development, Policy guidance for development agencies.</w:t>
      </w:r>
    </w:p>
    <w:p w:rsidR="00000000" w:rsidRDefault="00C55CA2">
      <w:pPr>
        <w:spacing w:line="200" w:lineRule="atLeast"/>
        <w:ind w:left="283" w:hanging="283"/>
        <w:jc w:val="both"/>
        <w:rPr>
          <w:rFonts w:eastAsia="TimesNewRomanPSMT" w:cs="Times New Roman"/>
          <w:color w:val="000000"/>
          <w:sz w:val="22"/>
          <w:szCs w:val="22"/>
          <w:lang w:val="en-GB"/>
        </w:rPr>
      </w:pPr>
      <w:r>
        <w:rPr>
          <w:rFonts w:eastAsia="TimesNewRomanPSMT" w:cs="Times New Roman"/>
          <w:color w:val="000000"/>
          <w:sz w:val="22"/>
          <w:szCs w:val="22"/>
          <w:lang w:val="en-GB"/>
        </w:rPr>
        <w:t>Woodford, M. (2005), Interest and Prices: Foundations of a Theory of Monetary Policy, Princeton: Princeton University Press. doi.10.1017/s</w:t>
      </w:r>
      <w:r>
        <w:rPr>
          <w:rFonts w:eastAsia="TimesNewRomanPSMT" w:cs="Times New Roman"/>
          <w:color w:val="000000"/>
          <w:sz w:val="22"/>
          <w:szCs w:val="22"/>
          <w:lang w:val="en-GB"/>
        </w:rPr>
        <w:t>1365100505040253</w:t>
      </w:r>
    </w:p>
    <w:p w:rsidR="00000000" w:rsidRDefault="00C55CA2">
      <w:pPr>
        <w:spacing w:line="200" w:lineRule="atLeast"/>
        <w:ind w:left="283" w:hanging="283"/>
        <w:jc w:val="both"/>
        <w:rPr>
          <w:rFonts w:cs="Times New Roman"/>
          <w:b/>
          <w:bCs/>
          <w:color w:val="000000"/>
          <w:sz w:val="28"/>
          <w:szCs w:val="28"/>
        </w:rPr>
      </w:pPr>
      <w:r>
        <w:rPr>
          <w:rFonts w:eastAsia="TimesNewRomanPSMT" w:cs="Times New Roman"/>
          <w:color w:val="000000"/>
          <w:sz w:val="22"/>
          <w:szCs w:val="22"/>
          <w:lang w:val="en-GB"/>
        </w:rPr>
        <w:t>Zouhaier, H. &amp; KEFI, M. K. (2012). Interaction between political instability and investment. Journal of Economics and International Finance, 4(2), 49. doi.10.5897/jeif11.127</w:t>
      </w:r>
    </w:p>
    <w:p w:rsidR="00000000" w:rsidRDefault="00C55CA2">
      <w:pPr>
        <w:widowControl/>
        <w:spacing w:line="200" w:lineRule="atLeast"/>
        <w:ind w:left="283" w:hanging="283"/>
        <w:jc w:val="both"/>
        <w:rPr>
          <w:rFonts w:cs="Times New Roman"/>
          <w:b/>
          <w:bCs/>
          <w:color w:val="000000"/>
          <w:sz w:val="28"/>
          <w:szCs w:val="28"/>
        </w:rPr>
      </w:pPr>
    </w:p>
    <w:p w:rsidR="00000000" w:rsidRDefault="00C55CA2">
      <w:pPr>
        <w:pageBreakBefore/>
        <w:widowControl/>
        <w:spacing w:after="80" w:line="240" w:lineRule="exact"/>
        <w:rPr>
          <w:rFonts w:cs="Times New Roman"/>
          <w:b/>
          <w:bCs/>
          <w:sz w:val="20"/>
          <w:szCs w:val="20"/>
        </w:rPr>
      </w:pPr>
      <w:r>
        <w:rPr>
          <w:rFonts w:eastAsia="CMR10" w:cs="Times New Roman"/>
          <w:b/>
          <w:bCs/>
          <w:color w:val="000000"/>
          <w:sz w:val="20"/>
          <w:szCs w:val="20"/>
        </w:rPr>
        <w:lastRenderedPageBreak/>
        <w:t>Appendix </w:t>
      </w:r>
      <w:r>
        <w:rPr>
          <w:rFonts w:eastAsia="CMR10" w:cs="Times New Roman"/>
          <w:color w:val="000000"/>
          <w:sz w:val="20"/>
          <w:szCs w:val="20"/>
        </w:rPr>
        <w:t xml:space="preserve">: </w:t>
      </w:r>
      <w:r>
        <w:rPr>
          <w:rFonts w:eastAsia="CMR10" w:cs="Times New Roman"/>
          <w:i/>
          <w:iCs/>
          <w:color w:val="000000"/>
          <w:sz w:val="20"/>
          <w:szCs w:val="20"/>
        </w:rPr>
        <w:t>Definitions and Sources of Variables</w:t>
      </w:r>
    </w:p>
    <w:tbl>
      <w:tblPr>
        <w:tblW w:w="0" w:type="auto"/>
        <w:tblInd w:w="78" w:type="dxa"/>
        <w:tblLayout w:type="fixed"/>
        <w:tblCellMar>
          <w:top w:w="55" w:type="dxa"/>
          <w:left w:w="55" w:type="dxa"/>
          <w:bottom w:w="55" w:type="dxa"/>
          <w:right w:w="55" w:type="dxa"/>
        </w:tblCellMar>
        <w:tblLook w:val="0000" w:firstRow="0" w:lastRow="0" w:firstColumn="0" w:lastColumn="0" w:noHBand="0" w:noVBand="0"/>
      </w:tblPr>
      <w:tblGrid>
        <w:gridCol w:w="1742"/>
        <w:gridCol w:w="3312"/>
        <w:gridCol w:w="1719"/>
      </w:tblGrid>
      <w:tr w:rsidR="00000000">
        <w:trPr>
          <w:tblHeader/>
        </w:trPr>
        <w:tc>
          <w:tcPr>
            <w:tcW w:w="1742" w:type="dxa"/>
            <w:tcBorders>
              <w:top w:val="single" w:sz="4" w:space="0" w:color="000000"/>
              <w:bottom w:val="single" w:sz="4" w:space="0" w:color="000000"/>
            </w:tcBorders>
            <w:shd w:val="clear" w:color="auto" w:fill="auto"/>
            <w:vAlign w:val="center"/>
          </w:tcPr>
          <w:p w:rsidR="00000000" w:rsidRDefault="00C55CA2">
            <w:pPr>
              <w:pStyle w:val="Contenudetableau"/>
              <w:spacing w:line="200" w:lineRule="atLeast"/>
              <w:rPr>
                <w:rFonts w:cs="Times New Roman"/>
                <w:b/>
                <w:bCs/>
                <w:sz w:val="20"/>
                <w:szCs w:val="20"/>
              </w:rPr>
            </w:pPr>
            <w:r>
              <w:rPr>
                <w:rFonts w:cs="Times New Roman"/>
                <w:b/>
                <w:bCs/>
                <w:sz w:val="20"/>
                <w:szCs w:val="20"/>
              </w:rPr>
              <w:t>Variables</w:t>
            </w:r>
          </w:p>
        </w:tc>
        <w:tc>
          <w:tcPr>
            <w:tcW w:w="3312" w:type="dxa"/>
            <w:tcBorders>
              <w:top w:val="single" w:sz="4" w:space="0" w:color="000000"/>
              <w:bottom w:val="single" w:sz="4" w:space="0" w:color="000000"/>
            </w:tcBorders>
            <w:shd w:val="clear" w:color="auto" w:fill="auto"/>
            <w:vAlign w:val="center"/>
          </w:tcPr>
          <w:p w:rsidR="00000000" w:rsidRDefault="00C55CA2">
            <w:pPr>
              <w:pStyle w:val="Contenudetableau"/>
              <w:spacing w:line="200" w:lineRule="atLeast"/>
              <w:rPr>
                <w:rFonts w:eastAsia="Times New Roman" w:cs="Times New Roman"/>
                <w:b/>
                <w:bCs/>
                <w:sz w:val="20"/>
                <w:szCs w:val="20"/>
                <w:lang w:eastAsia="en-US" w:bidi="en-US"/>
              </w:rPr>
            </w:pPr>
            <w:r>
              <w:rPr>
                <w:rFonts w:cs="Times New Roman"/>
                <w:b/>
                <w:bCs/>
                <w:sz w:val="20"/>
                <w:szCs w:val="20"/>
              </w:rPr>
              <w:t>Defini</w:t>
            </w:r>
            <w:r>
              <w:rPr>
                <w:rFonts w:cs="Times New Roman"/>
                <w:b/>
                <w:bCs/>
                <w:sz w:val="20"/>
                <w:szCs w:val="20"/>
              </w:rPr>
              <w:t>tions</w:t>
            </w:r>
          </w:p>
        </w:tc>
        <w:tc>
          <w:tcPr>
            <w:tcW w:w="1719" w:type="dxa"/>
            <w:tcBorders>
              <w:top w:val="single" w:sz="4" w:space="0" w:color="000000"/>
              <w:bottom w:val="single" w:sz="4" w:space="0" w:color="000000"/>
            </w:tcBorders>
            <w:shd w:val="clear" w:color="auto" w:fill="auto"/>
            <w:vAlign w:val="center"/>
          </w:tcPr>
          <w:p w:rsidR="00000000" w:rsidRDefault="00C55CA2">
            <w:pPr>
              <w:pStyle w:val="Contenudetableau"/>
              <w:widowControl/>
              <w:suppressAutoHyphens w:val="0"/>
              <w:spacing w:line="200" w:lineRule="atLeast"/>
              <w:jc w:val="both"/>
              <w:rPr>
                <w:rFonts w:eastAsia="Garamond" w:cs="Times New Roman"/>
                <w:color w:val="000000"/>
                <w:sz w:val="20"/>
                <w:szCs w:val="20"/>
              </w:rPr>
            </w:pPr>
            <w:r>
              <w:rPr>
                <w:rFonts w:eastAsia="Times New Roman" w:cs="Times New Roman"/>
                <w:b/>
                <w:bCs/>
                <w:sz w:val="20"/>
                <w:szCs w:val="20"/>
                <w:lang w:eastAsia="en-US" w:bidi="en-US"/>
              </w:rPr>
              <w:t>Sources</w:t>
            </w:r>
          </w:p>
        </w:tc>
      </w:tr>
      <w:tr w:rsidR="00000000">
        <w:tc>
          <w:tcPr>
            <w:tcW w:w="1742" w:type="dxa"/>
            <w:shd w:val="clear" w:color="auto" w:fill="auto"/>
            <w:vAlign w:val="center"/>
          </w:tcPr>
          <w:p w:rsidR="00000000" w:rsidRDefault="00C55CA2">
            <w:pPr>
              <w:spacing w:line="200" w:lineRule="atLeast"/>
              <w:rPr>
                <w:rFonts w:eastAsia="CMR10" w:cs="Times New Roman"/>
                <w:color w:val="000000"/>
                <w:sz w:val="20"/>
                <w:szCs w:val="20"/>
                <w:lang w:eastAsia="en-US" w:bidi="en-US"/>
              </w:rPr>
            </w:pPr>
            <w:r>
              <w:rPr>
                <w:rFonts w:eastAsia="Garamond" w:cs="Times New Roman"/>
                <w:color w:val="000000"/>
                <w:sz w:val="20"/>
                <w:szCs w:val="20"/>
              </w:rPr>
              <w:t>Private investment</w:t>
            </w:r>
          </w:p>
        </w:tc>
        <w:tc>
          <w:tcPr>
            <w:tcW w:w="3312" w:type="dxa"/>
            <w:shd w:val="clear" w:color="auto" w:fill="auto"/>
            <w:vAlign w:val="center"/>
          </w:tcPr>
          <w:p w:rsidR="00000000" w:rsidRDefault="00C55CA2">
            <w:pPr>
              <w:widowControl/>
              <w:spacing w:line="200" w:lineRule="atLeast"/>
              <w:rPr>
                <w:rFonts w:cs="Times New Roman"/>
                <w:sz w:val="20"/>
                <w:szCs w:val="20"/>
              </w:rPr>
            </w:pPr>
            <w:r>
              <w:rPr>
                <w:rFonts w:eastAsia="CMR10" w:cs="Times New Roman"/>
                <w:color w:val="000000"/>
                <w:sz w:val="20"/>
                <w:szCs w:val="20"/>
                <w:lang w:eastAsia="en-US" w:bidi="en-US"/>
              </w:rPr>
              <w:t>Ip = ln [Gross fixed capital formation, private sector]</w:t>
            </w:r>
          </w:p>
        </w:tc>
        <w:tc>
          <w:tcPr>
            <w:tcW w:w="1719" w:type="dxa"/>
            <w:vMerge w:val="restart"/>
            <w:shd w:val="clear" w:color="auto" w:fill="auto"/>
            <w:vAlign w:val="center"/>
          </w:tcPr>
          <w:p w:rsidR="00000000" w:rsidRDefault="00C55CA2">
            <w:pPr>
              <w:pStyle w:val="Contenudetableau"/>
              <w:snapToGrid w:val="0"/>
              <w:spacing w:line="200" w:lineRule="atLeast"/>
              <w:rPr>
                <w:rFonts w:eastAsia="Garamond" w:cs="Times New Roman"/>
                <w:color w:val="000000"/>
                <w:sz w:val="20"/>
                <w:szCs w:val="20"/>
              </w:rPr>
            </w:pPr>
            <w:r>
              <w:rPr>
                <w:rFonts w:cs="Times New Roman"/>
                <w:sz w:val="20"/>
                <w:szCs w:val="20"/>
              </w:rPr>
              <w:t>World Development Indicators (WDI) of the World Bank</w:t>
            </w:r>
          </w:p>
        </w:tc>
      </w:tr>
      <w:tr w:rsidR="00000000">
        <w:tc>
          <w:tcPr>
            <w:tcW w:w="1742" w:type="dxa"/>
            <w:shd w:val="clear" w:color="auto" w:fill="auto"/>
            <w:vAlign w:val="center"/>
          </w:tcPr>
          <w:p w:rsidR="00000000" w:rsidRDefault="00C55CA2">
            <w:pPr>
              <w:spacing w:line="200" w:lineRule="atLeast"/>
              <w:rPr>
                <w:rFonts w:eastAsia="CMR10" w:cs="Times New Roman"/>
                <w:color w:val="000000"/>
                <w:sz w:val="20"/>
                <w:szCs w:val="20"/>
                <w:lang w:eastAsia="en-US" w:bidi="en-US"/>
              </w:rPr>
            </w:pPr>
            <w:r>
              <w:rPr>
                <w:rFonts w:eastAsia="Garamond" w:cs="Times New Roman"/>
                <w:color w:val="000000"/>
                <w:sz w:val="20"/>
                <w:szCs w:val="20"/>
              </w:rPr>
              <w:t>Public investment</w:t>
            </w:r>
          </w:p>
        </w:tc>
        <w:tc>
          <w:tcPr>
            <w:tcW w:w="3312" w:type="dxa"/>
            <w:shd w:val="clear" w:color="auto" w:fill="auto"/>
            <w:vAlign w:val="center"/>
          </w:tcPr>
          <w:p w:rsidR="00000000" w:rsidRDefault="00C55CA2">
            <w:pPr>
              <w:widowControl/>
              <w:spacing w:line="200" w:lineRule="atLeast"/>
              <w:rPr>
                <w:rFonts w:cs="Times New Roman"/>
                <w:sz w:val="20"/>
                <w:szCs w:val="20"/>
              </w:rPr>
            </w:pPr>
            <w:r>
              <w:rPr>
                <w:rFonts w:eastAsia="CMR10" w:cs="Times New Roman"/>
                <w:color w:val="000000"/>
                <w:sz w:val="20"/>
                <w:szCs w:val="20"/>
                <w:lang w:eastAsia="en-US" w:bidi="en-US"/>
              </w:rPr>
              <w:t>Ig = ln [Gross fixed capital formation, public sector]</w:t>
            </w:r>
          </w:p>
        </w:tc>
        <w:tc>
          <w:tcPr>
            <w:tcW w:w="1719" w:type="dxa"/>
            <w:vMerge/>
            <w:shd w:val="clear" w:color="auto" w:fill="auto"/>
            <w:vAlign w:val="center"/>
          </w:tcPr>
          <w:p w:rsidR="00000000" w:rsidRDefault="00C55CA2">
            <w:pPr>
              <w:pStyle w:val="Contenudetableau"/>
              <w:snapToGrid w:val="0"/>
              <w:spacing w:line="200" w:lineRule="atLeast"/>
              <w:rPr>
                <w:rFonts w:cs="Times New Roman"/>
                <w:sz w:val="20"/>
                <w:szCs w:val="20"/>
              </w:rPr>
            </w:pPr>
          </w:p>
        </w:tc>
      </w:tr>
      <w:tr w:rsidR="00000000">
        <w:tc>
          <w:tcPr>
            <w:tcW w:w="1742" w:type="dxa"/>
            <w:shd w:val="clear" w:color="auto" w:fill="auto"/>
            <w:vAlign w:val="center"/>
          </w:tcPr>
          <w:p w:rsidR="00000000" w:rsidRDefault="00C55CA2">
            <w:pPr>
              <w:widowControl/>
              <w:suppressAutoHyphens w:val="0"/>
              <w:spacing w:line="200" w:lineRule="atLeast"/>
              <w:rPr>
                <w:rFonts w:eastAsia="CMR10" w:cs="Times New Roman"/>
                <w:color w:val="000000"/>
                <w:sz w:val="20"/>
                <w:szCs w:val="20"/>
                <w:lang w:eastAsia="en-US" w:bidi="en-US"/>
              </w:rPr>
            </w:pPr>
            <w:r>
              <w:rPr>
                <w:rFonts w:eastAsia="Garamond" w:cs="Times New Roman"/>
                <w:color w:val="000000"/>
                <w:sz w:val="20"/>
                <w:szCs w:val="20"/>
              </w:rPr>
              <w:t>Gross domestic product</w:t>
            </w:r>
          </w:p>
        </w:tc>
        <w:tc>
          <w:tcPr>
            <w:tcW w:w="3312" w:type="dxa"/>
            <w:shd w:val="clear" w:color="auto" w:fill="auto"/>
            <w:vAlign w:val="center"/>
          </w:tcPr>
          <w:p w:rsidR="00000000" w:rsidRDefault="00C55CA2">
            <w:pPr>
              <w:widowControl/>
              <w:spacing w:line="200" w:lineRule="atLeast"/>
              <w:rPr>
                <w:rFonts w:cs="Times New Roman"/>
                <w:sz w:val="20"/>
                <w:szCs w:val="20"/>
              </w:rPr>
            </w:pPr>
            <w:r>
              <w:rPr>
                <w:rFonts w:eastAsia="CMR10" w:cs="Times New Roman"/>
                <w:color w:val="000000"/>
                <w:sz w:val="20"/>
                <w:szCs w:val="20"/>
                <w:lang w:eastAsia="en-US" w:bidi="en-US"/>
              </w:rPr>
              <w:t>GDP = ln [</w:t>
            </w:r>
            <w:r>
              <w:rPr>
                <w:rFonts w:eastAsia="Garamond" w:cs="Times New Roman"/>
                <w:color w:val="000000"/>
                <w:sz w:val="20"/>
                <w:szCs w:val="20"/>
                <w:lang w:eastAsia="en-US" w:bidi="en-US"/>
              </w:rPr>
              <w:t>Gros</w:t>
            </w:r>
            <w:r>
              <w:rPr>
                <w:rFonts w:eastAsia="Garamond" w:cs="Times New Roman"/>
                <w:color w:val="000000"/>
                <w:sz w:val="20"/>
                <w:szCs w:val="20"/>
                <w:lang w:eastAsia="en-US" w:bidi="en-US"/>
              </w:rPr>
              <w:t>s domestic product (constant 2005)]</w:t>
            </w:r>
          </w:p>
        </w:tc>
        <w:tc>
          <w:tcPr>
            <w:tcW w:w="1719" w:type="dxa"/>
            <w:vMerge/>
            <w:shd w:val="clear" w:color="auto" w:fill="auto"/>
            <w:vAlign w:val="center"/>
          </w:tcPr>
          <w:p w:rsidR="00000000" w:rsidRDefault="00C55CA2">
            <w:pPr>
              <w:pStyle w:val="Contenudetableau"/>
              <w:snapToGrid w:val="0"/>
              <w:spacing w:line="200" w:lineRule="atLeast"/>
              <w:rPr>
                <w:rFonts w:cs="Times New Roman"/>
                <w:sz w:val="20"/>
                <w:szCs w:val="20"/>
              </w:rPr>
            </w:pPr>
          </w:p>
        </w:tc>
      </w:tr>
      <w:tr w:rsidR="00000000">
        <w:tc>
          <w:tcPr>
            <w:tcW w:w="1742" w:type="dxa"/>
            <w:shd w:val="clear" w:color="auto" w:fill="auto"/>
            <w:vAlign w:val="center"/>
          </w:tcPr>
          <w:p w:rsidR="00000000" w:rsidRDefault="00C55CA2">
            <w:pPr>
              <w:spacing w:line="200" w:lineRule="atLeast"/>
              <w:rPr>
                <w:rFonts w:eastAsia="CMR10" w:cs="Times New Roman"/>
                <w:color w:val="000000"/>
                <w:sz w:val="20"/>
                <w:szCs w:val="20"/>
                <w:lang w:eastAsia="en-US" w:bidi="en-US"/>
              </w:rPr>
            </w:pPr>
            <w:r>
              <w:rPr>
                <w:rFonts w:eastAsia="Garamond" w:cs="Times New Roman"/>
                <w:color w:val="000000"/>
                <w:sz w:val="20"/>
                <w:szCs w:val="20"/>
              </w:rPr>
              <w:t>Domestic credit to private sector</w:t>
            </w:r>
          </w:p>
        </w:tc>
        <w:tc>
          <w:tcPr>
            <w:tcW w:w="3312" w:type="dxa"/>
            <w:shd w:val="clear" w:color="auto" w:fill="auto"/>
            <w:vAlign w:val="center"/>
          </w:tcPr>
          <w:p w:rsidR="00000000" w:rsidRDefault="00C55CA2">
            <w:pPr>
              <w:widowControl/>
              <w:spacing w:line="200" w:lineRule="atLeast"/>
              <w:rPr>
                <w:rFonts w:cs="Times New Roman"/>
                <w:sz w:val="20"/>
                <w:szCs w:val="20"/>
              </w:rPr>
            </w:pPr>
            <w:r>
              <w:rPr>
                <w:rFonts w:eastAsia="CMR10" w:cs="Times New Roman"/>
                <w:color w:val="000000"/>
                <w:sz w:val="20"/>
                <w:szCs w:val="20"/>
                <w:lang w:eastAsia="en-US" w:bidi="en-US"/>
              </w:rPr>
              <w:t>CRED = ln (Credit to Private Sector / GDP)</w:t>
            </w:r>
          </w:p>
        </w:tc>
        <w:tc>
          <w:tcPr>
            <w:tcW w:w="1719" w:type="dxa"/>
            <w:vMerge/>
            <w:shd w:val="clear" w:color="auto" w:fill="auto"/>
            <w:vAlign w:val="center"/>
          </w:tcPr>
          <w:p w:rsidR="00000000" w:rsidRDefault="00C55CA2">
            <w:pPr>
              <w:pStyle w:val="Contenudetableau"/>
              <w:snapToGrid w:val="0"/>
              <w:spacing w:line="200" w:lineRule="atLeast"/>
              <w:rPr>
                <w:rFonts w:cs="Times New Roman"/>
                <w:sz w:val="20"/>
                <w:szCs w:val="20"/>
              </w:rPr>
            </w:pPr>
          </w:p>
        </w:tc>
      </w:tr>
      <w:tr w:rsidR="00000000">
        <w:tc>
          <w:tcPr>
            <w:tcW w:w="1742" w:type="dxa"/>
            <w:shd w:val="clear" w:color="auto" w:fill="auto"/>
            <w:vAlign w:val="center"/>
          </w:tcPr>
          <w:p w:rsidR="00000000" w:rsidRDefault="00C55CA2">
            <w:pPr>
              <w:widowControl/>
              <w:suppressAutoHyphens w:val="0"/>
              <w:spacing w:line="200" w:lineRule="atLeast"/>
              <w:rPr>
                <w:rFonts w:eastAsia="CMR10" w:cs="Times New Roman"/>
                <w:color w:val="000000"/>
                <w:sz w:val="20"/>
                <w:szCs w:val="20"/>
                <w:lang w:eastAsia="en-US" w:bidi="en-US"/>
              </w:rPr>
            </w:pPr>
            <w:r>
              <w:rPr>
                <w:rFonts w:eastAsia="Garamond" w:cs="Times New Roman"/>
                <w:color w:val="000000"/>
                <w:sz w:val="20"/>
                <w:szCs w:val="20"/>
              </w:rPr>
              <w:t>Government consumption</w:t>
            </w:r>
          </w:p>
        </w:tc>
        <w:tc>
          <w:tcPr>
            <w:tcW w:w="3312" w:type="dxa"/>
            <w:shd w:val="clear" w:color="auto" w:fill="auto"/>
            <w:vAlign w:val="center"/>
          </w:tcPr>
          <w:p w:rsidR="00000000" w:rsidRDefault="00C55CA2">
            <w:pPr>
              <w:widowControl/>
              <w:spacing w:line="200" w:lineRule="atLeast"/>
              <w:rPr>
                <w:rFonts w:cs="Times New Roman"/>
                <w:sz w:val="20"/>
                <w:szCs w:val="20"/>
              </w:rPr>
            </w:pPr>
            <w:r>
              <w:rPr>
                <w:rFonts w:eastAsia="CMR10" w:cs="Times New Roman"/>
                <w:color w:val="000000"/>
                <w:sz w:val="20"/>
                <w:szCs w:val="20"/>
                <w:lang w:eastAsia="en-US" w:bidi="en-US"/>
              </w:rPr>
              <w:t>GOUV = ln (General government final consumption expenditure)</w:t>
            </w:r>
          </w:p>
        </w:tc>
        <w:tc>
          <w:tcPr>
            <w:tcW w:w="1719" w:type="dxa"/>
            <w:vMerge/>
            <w:shd w:val="clear" w:color="auto" w:fill="auto"/>
            <w:vAlign w:val="center"/>
          </w:tcPr>
          <w:p w:rsidR="00000000" w:rsidRDefault="00C55CA2">
            <w:pPr>
              <w:pStyle w:val="Contenudetableau"/>
              <w:snapToGrid w:val="0"/>
              <w:spacing w:line="200" w:lineRule="atLeast"/>
              <w:rPr>
                <w:rFonts w:cs="Times New Roman"/>
                <w:sz w:val="20"/>
                <w:szCs w:val="20"/>
              </w:rPr>
            </w:pPr>
          </w:p>
        </w:tc>
      </w:tr>
      <w:tr w:rsidR="00000000">
        <w:tc>
          <w:tcPr>
            <w:tcW w:w="1742" w:type="dxa"/>
            <w:shd w:val="clear" w:color="auto" w:fill="auto"/>
            <w:vAlign w:val="center"/>
          </w:tcPr>
          <w:p w:rsidR="00000000" w:rsidRDefault="00C55CA2">
            <w:pPr>
              <w:widowControl/>
              <w:suppressAutoHyphens w:val="0"/>
              <w:spacing w:line="200" w:lineRule="atLeast"/>
              <w:rPr>
                <w:rFonts w:eastAsia="CMR10" w:cs="Times New Roman"/>
                <w:color w:val="000000"/>
                <w:sz w:val="20"/>
                <w:szCs w:val="20"/>
                <w:lang w:eastAsia="en-US" w:bidi="en-US"/>
              </w:rPr>
            </w:pPr>
            <w:r>
              <w:rPr>
                <w:rFonts w:eastAsia="Garamond" w:cs="Times New Roman"/>
                <w:color w:val="000000"/>
                <w:sz w:val="20"/>
                <w:szCs w:val="20"/>
              </w:rPr>
              <w:t>Output gap</w:t>
            </w:r>
          </w:p>
        </w:tc>
        <w:tc>
          <w:tcPr>
            <w:tcW w:w="3312" w:type="dxa"/>
            <w:shd w:val="clear" w:color="auto" w:fill="auto"/>
            <w:vAlign w:val="center"/>
          </w:tcPr>
          <w:p w:rsidR="00000000" w:rsidRDefault="00C55CA2">
            <w:pPr>
              <w:widowControl/>
              <w:spacing w:line="200" w:lineRule="atLeast"/>
              <w:rPr>
                <w:rFonts w:cs="Times New Roman"/>
                <w:sz w:val="20"/>
                <w:szCs w:val="20"/>
              </w:rPr>
            </w:pPr>
            <w:r>
              <w:rPr>
                <w:rFonts w:eastAsia="CMR10" w:cs="Times New Roman"/>
                <w:color w:val="000000"/>
                <w:sz w:val="20"/>
                <w:szCs w:val="20"/>
                <w:lang w:eastAsia="en-US" w:bidi="en-US"/>
              </w:rPr>
              <w:t>GapGDP = [(GDP – Potential GDP) / Potentia</w:t>
            </w:r>
            <w:r>
              <w:rPr>
                <w:rFonts w:eastAsia="CMR10" w:cs="Times New Roman"/>
                <w:color w:val="000000"/>
                <w:sz w:val="20"/>
                <w:szCs w:val="20"/>
                <w:lang w:eastAsia="en-US" w:bidi="en-US"/>
              </w:rPr>
              <w:t>l GDP] in percentage. Potential GDP is calculated using the Hodrick-Prescott Filter.</w:t>
            </w:r>
          </w:p>
        </w:tc>
        <w:tc>
          <w:tcPr>
            <w:tcW w:w="1719" w:type="dxa"/>
            <w:vMerge/>
            <w:shd w:val="clear" w:color="auto" w:fill="auto"/>
            <w:vAlign w:val="center"/>
          </w:tcPr>
          <w:p w:rsidR="00000000" w:rsidRDefault="00C55CA2">
            <w:pPr>
              <w:pStyle w:val="Contenudetableau"/>
              <w:snapToGrid w:val="0"/>
              <w:spacing w:line="200" w:lineRule="atLeast"/>
              <w:rPr>
                <w:rFonts w:cs="Times New Roman"/>
                <w:sz w:val="20"/>
                <w:szCs w:val="20"/>
              </w:rPr>
            </w:pPr>
          </w:p>
        </w:tc>
      </w:tr>
      <w:tr w:rsidR="00000000">
        <w:tc>
          <w:tcPr>
            <w:tcW w:w="1742" w:type="dxa"/>
            <w:shd w:val="clear" w:color="auto" w:fill="auto"/>
            <w:vAlign w:val="center"/>
          </w:tcPr>
          <w:p w:rsidR="00000000" w:rsidRDefault="00C55CA2">
            <w:pPr>
              <w:widowControl/>
              <w:suppressAutoHyphens w:val="0"/>
              <w:spacing w:line="200" w:lineRule="atLeast"/>
              <w:rPr>
                <w:rFonts w:eastAsia="CMR10" w:cs="Times New Roman"/>
                <w:color w:val="000000"/>
                <w:sz w:val="20"/>
                <w:szCs w:val="20"/>
                <w:lang w:eastAsia="en-US" w:bidi="en-US"/>
              </w:rPr>
            </w:pPr>
            <w:r>
              <w:rPr>
                <w:rFonts w:eastAsia="Garamond" w:cs="Times New Roman"/>
                <w:color w:val="000000"/>
                <w:sz w:val="20"/>
                <w:szCs w:val="20"/>
              </w:rPr>
              <w:t>Inflation</w:t>
            </w:r>
          </w:p>
        </w:tc>
        <w:tc>
          <w:tcPr>
            <w:tcW w:w="3312" w:type="dxa"/>
            <w:shd w:val="clear" w:color="auto" w:fill="auto"/>
            <w:vAlign w:val="center"/>
          </w:tcPr>
          <w:p w:rsidR="00000000" w:rsidRDefault="00C55CA2">
            <w:pPr>
              <w:widowControl/>
              <w:spacing w:line="200" w:lineRule="atLeast"/>
              <w:rPr>
                <w:rFonts w:cs="Times New Roman"/>
                <w:sz w:val="20"/>
                <w:szCs w:val="20"/>
              </w:rPr>
            </w:pPr>
            <w:r>
              <w:rPr>
                <w:rFonts w:eastAsia="CMR10" w:cs="Times New Roman"/>
                <w:color w:val="000000"/>
                <w:sz w:val="20"/>
                <w:szCs w:val="20"/>
                <w:lang w:eastAsia="en-US" w:bidi="en-US"/>
              </w:rPr>
              <w:t>INFL = Consumer prices (annual percentage)</w:t>
            </w:r>
          </w:p>
        </w:tc>
        <w:tc>
          <w:tcPr>
            <w:tcW w:w="1719" w:type="dxa"/>
            <w:vMerge/>
            <w:shd w:val="clear" w:color="auto" w:fill="auto"/>
            <w:vAlign w:val="center"/>
          </w:tcPr>
          <w:p w:rsidR="00000000" w:rsidRDefault="00C55CA2">
            <w:pPr>
              <w:pStyle w:val="Contenudetableau"/>
              <w:snapToGrid w:val="0"/>
              <w:spacing w:line="200" w:lineRule="atLeast"/>
              <w:rPr>
                <w:rFonts w:cs="Times New Roman"/>
                <w:sz w:val="20"/>
                <w:szCs w:val="20"/>
              </w:rPr>
            </w:pPr>
          </w:p>
        </w:tc>
      </w:tr>
      <w:tr w:rsidR="00000000">
        <w:tc>
          <w:tcPr>
            <w:tcW w:w="1742" w:type="dxa"/>
            <w:shd w:val="clear" w:color="auto" w:fill="auto"/>
            <w:vAlign w:val="center"/>
          </w:tcPr>
          <w:p w:rsidR="00000000" w:rsidRDefault="00C55CA2">
            <w:pPr>
              <w:widowControl/>
              <w:suppressAutoHyphens w:val="0"/>
              <w:spacing w:line="200" w:lineRule="atLeast"/>
              <w:rPr>
                <w:rFonts w:eastAsia="CMR10" w:cs="Times New Roman"/>
                <w:color w:val="000000"/>
                <w:sz w:val="20"/>
                <w:szCs w:val="20"/>
                <w:lang w:eastAsia="en-US" w:bidi="en-US"/>
              </w:rPr>
            </w:pPr>
            <w:r>
              <w:rPr>
                <w:rFonts w:eastAsia="Garamond" w:cs="Times New Roman"/>
                <w:color w:val="000000"/>
                <w:sz w:val="20"/>
                <w:szCs w:val="20"/>
              </w:rPr>
              <w:t>Terms of trade</w:t>
            </w:r>
          </w:p>
        </w:tc>
        <w:tc>
          <w:tcPr>
            <w:tcW w:w="3312" w:type="dxa"/>
            <w:shd w:val="clear" w:color="auto" w:fill="auto"/>
            <w:vAlign w:val="center"/>
          </w:tcPr>
          <w:p w:rsidR="00000000" w:rsidRDefault="00C55CA2">
            <w:pPr>
              <w:widowControl/>
              <w:suppressAutoHyphens w:val="0"/>
              <w:spacing w:line="200" w:lineRule="atLeast"/>
              <w:rPr>
                <w:rFonts w:cs="Times New Roman"/>
                <w:sz w:val="20"/>
                <w:szCs w:val="20"/>
              </w:rPr>
            </w:pPr>
            <w:r>
              <w:rPr>
                <w:rFonts w:eastAsia="CMR10" w:cs="Times New Roman"/>
                <w:color w:val="000000"/>
                <w:sz w:val="20"/>
                <w:szCs w:val="20"/>
                <w:lang w:eastAsia="en-US" w:bidi="en-US"/>
              </w:rPr>
              <w:t>TOT = Annual percentage of Net barter terms of trade index (2000 = 100)</w:t>
            </w:r>
          </w:p>
        </w:tc>
        <w:tc>
          <w:tcPr>
            <w:tcW w:w="1719" w:type="dxa"/>
            <w:vMerge/>
            <w:shd w:val="clear" w:color="auto" w:fill="auto"/>
            <w:vAlign w:val="center"/>
          </w:tcPr>
          <w:p w:rsidR="00000000" w:rsidRDefault="00C55CA2">
            <w:pPr>
              <w:snapToGrid w:val="0"/>
              <w:spacing w:line="200" w:lineRule="atLeast"/>
              <w:rPr>
                <w:rFonts w:cs="Times New Roman"/>
                <w:sz w:val="20"/>
                <w:szCs w:val="20"/>
              </w:rPr>
            </w:pPr>
          </w:p>
        </w:tc>
      </w:tr>
      <w:tr w:rsidR="00000000">
        <w:tc>
          <w:tcPr>
            <w:tcW w:w="1742" w:type="dxa"/>
            <w:shd w:val="clear" w:color="auto" w:fill="auto"/>
            <w:vAlign w:val="center"/>
          </w:tcPr>
          <w:p w:rsidR="00000000" w:rsidRDefault="00C55CA2">
            <w:pPr>
              <w:widowControl/>
              <w:suppressAutoHyphens w:val="0"/>
              <w:spacing w:line="200" w:lineRule="atLeast"/>
              <w:rPr>
                <w:rFonts w:eastAsia="Garamond" w:cs="Times New Roman"/>
                <w:color w:val="000000"/>
                <w:sz w:val="20"/>
                <w:szCs w:val="20"/>
                <w:lang w:eastAsia="en-US" w:bidi="en-US"/>
              </w:rPr>
            </w:pPr>
            <w:r>
              <w:rPr>
                <w:rFonts w:eastAsia="Garamond" w:cs="Times New Roman"/>
                <w:color w:val="000000"/>
                <w:sz w:val="20"/>
                <w:szCs w:val="20"/>
              </w:rPr>
              <w:t>Degree of openness to int</w:t>
            </w:r>
            <w:r>
              <w:rPr>
                <w:rFonts w:eastAsia="Garamond" w:cs="Times New Roman"/>
                <w:color w:val="000000"/>
                <w:sz w:val="20"/>
                <w:szCs w:val="20"/>
              </w:rPr>
              <w:t>ernational trade</w:t>
            </w:r>
          </w:p>
        </w:tc>
        <w:tc>
          <w:tcPr>
            <w:tcW w:w="3312" w:type="dxa"/>
            <w:shd w:val="clear" w:color="auto" w:fill="auto"/>
            <w:vAlign w:val="center"/>
          </w:tcPr>
          <w:p w:rsidR="00000000" w:rsidRDefault="00C55CA2">
            <w:pPr>
              <w:widowControl/>
              <w:suppressAutoHyphens w:val="0"/>
              <w:spacing w:line="200" w:lineRule="atLeast"/>
              <w:rPr>
                <w:rFonts w:cs="Times New Roman"/>
                <w:sz w:val="20"/>
                <w:szCs w:val="20"/>
              </w:rPr>
            </w:pPr>
            <w:r>
              <w:rPr>
                <w:rFonts w:eastAsia="Garamond" w:cs="Times New Roman"/>
                <w:color w:val="000000"/>
                <w:sz w:val="20"/>
                <w:szCs w:val="20"/>
                <w:lang w:eastAsia="en-US" w:bidi="en-US"/>
              </w:rPr>
              <w:t>OUV = (Exportation + Importation)/(2*GDP) in percentage</w:t>
            </w:r>
          </w:p>
        </w:tc>
        <w:tc>
          <w:tcPr>
            <w:tcW w:w="1719" w:type="dxa"/>
            <w:vMerge/>
            <w:shd w:val="clear" w:color="auto" w:fill="auto"/>
            <w:vAlign w:val="center"/>
          </w:tcPr>
          <w:p w:rsidR="00000000" w:rsidRDefault="00C55CA2">
            <w:pPr>
              <w:snapToGrid w:val="0"/>
              <w:spacing w:line="200" w:lineRule="atLeast"/>
              <w:rPr>
                <w:rFonts w:cs="Times New Roman"/>
                <w:sz w:val="20"/>
                <w:szCs w:val="20"/>
              </w:rPr>
            </w:pPr>
          </w:p>
        </w:tc>
      </w:tr>
      <w:tr w:rsidR="00000000">
        <w:tc>
          <w:tcPr>
            <w:tcW w:w="1742" w:type="dxa"/>
            <w:shd w:val="clear" w:color="auto" w:fill="auto"/>
            <w:vAlign w:val="center"/>
          </w:tcPr>
          <w:p w:rsidR="00000000" w:rsidRDefault="00C55CA2">
            <w:pPr>
              <w:widowControl/>
              <w:suppressAutoHyphens w:val="0"/>
              <w:spacing w:line="200" w:lineRule="atLeast"/>
              <w:rPr>
                <w:rFonts w:eastAsia="Garamond" w:cs="Times New Roman"/>
                <w:color w:val="000000"/>
                <w:sz w:val="20"/>
                <w:szCs w:val="20"/>
                <w:lang w:eastAsia="en-US" w:bidi="en-US"/>
              </w:rPr>
            </w:pPr>
            <w:r>
              <w:rPr>
                <w:rFonts w:eastAsia="Garamond" w:cs="Times New Roman"/>
                <w:color w:val="000000"/>
                <w:sz w:val="20"/>
                <w:szCs w:val="20"/>
              </w:rPr>
              <w:t>Political Stability</w:t>
            </w:r>
          </w:p>
        </w:tc>
        <w:tc>
          <w:tcPr>
            <w:tcW w:w="3312" w:type="dxa"/>
            <w:shd w:val="clear" w:color="auto" w:fill="auto"/>
            <w:vAlign w:val="center"/>
          </w:tcPr>
          <w:p w:rsidR="00000000" w:rsidRDefault="00C55CA2">
            <w:pPr>
              <w:widowControl/>
              <w:suppressAutoHyphens w:val="0"/>
              <w:spacing w:line="200" w:lineRule="atLeast"/>
              <w:rPr>
                <w:rFonts w:cs="Times New Roman"/>
                <w:sz w:val="20"/>
                <w:szCs w:val="20"/>
              </w:rPr>
            </w:pPr>
            <w:r>
              <w:rPr>
                <w:rFonts w:eastAsia="Garamond" w:cs="Times New Roman"/>
                <w:color w:val="000000"/>
                <w:sz w:val="20"/>
                <w:szCs w:val="20"/>
                <w:lang w:eastAsia="en-US" w:bidi="en-US"/>
              </w:rPr>
              <w:t>POL = Political stability index</w:t>
            </w:r>
          </w:p>
        </w:tc>
        <w:tc>
          <w:tcPr>
            <w:tcW w:w="1719" w:type="dxa"/>
            <w:shd w:val="clear" w:color="auto" w:fill="auto"/>
            <w:vAlign w:val="center"/>
          </w:tcPr>
          <w:p w:rsidR="00000000" w:rsidRDefault="00C55CA2">
            <w:pPr>
              <w:snapToGrid w:val="0"/>
              <w:spacing w:line="200" w:lineRule="atLeast"/>
              <w:rPr>
                <w:rFonts w:eastAsia="Garamond" w:cs="Times New Roman"/>
                <w:color w:val="000000"/>
                <w:sz w:val="20"/>
                <w:szCs w:val="20"/>
              </w:rPr>
            </w:pPr>
            <w:r>
              <w:rPr>
                <w:rFonts w:cs="Times New Roman"/>
                <w:sz w:val="20"/>
                <w:szCs w:val="20"/>
              </w:rPr>
              <w:t>The Global Economy Database</w:t>
            </w:r>
          </w:p>
        </w:tc>
      </w:tr>
      <w:tr w:rsidR="00000000">
        <w:tc>
          <w:tcPr>
            <w:tcW w:w="1742" w:type="dxa"/>
            <w:tcBorders>
              <w:bottom w:val="single" w:sz="4" w:space="0" w:color="000000"/>
            </w:tcBorders>
            <w:shd w:val="clear" w:color="auto" w:fill="auto"/>
            <w:vAlign w:val="center"/>
          </w:tcPr>
          <w:p w:rsidR="00000000" w:rsidRDefault="00C55CA2">
            <w:pPr>
              <w:widowControl/>
              <w:suppressAutoHyphens w:val="0"/>
              <w:spacing w:line="200" w:lineRule="atLeast"/>
              <w:rPr>
                <w:rFonts w:eastAsia="CMR10" w:cs="Times New Roman"/>
                <w:color w:val="000000"/>
                <w:sz w:val="20"/>
                <w:szCs w:val="20"/>
                <w:lang w:eastAsia="en-US" w:bidi="en-US"/>
              </w:rPr>
            </w:pPr>
            <w:r>
              <w:rPr>
                <w:rFonts w:eastAsia="Garamond" w:cs="Times New Roman"/>
                <w:color w:val="000000"/>
                <w:sz w:val="20"/>
                <w:szCs w:val="20"/>
              </w:rPr>
              <w:t>Real interest rate</w:t>
            </w:r>
          </w:p>
        </w:tc>
        <w:tc>
          <w:tcPr>
            <w:tcW w:w="3312" w:type="dxa"/>
            <w:tcBorders>
              <w:bottom w:val="single" w:sz="4" w:space="0" w:color="000000"/>
            </w:tcBorders>
            <w:shd w:val="clear" w:color="auto" w:fill="auto"/>
            <w:vAlign w:val="center"/>
          </w:tcPr>
          <w:p w:rsidR="00000000" w:rsidRDefault="00C55CA2">
            <w:pPr>
              <w:widowControl/>
              <w:suppressAutoHyphens w:val="0"/>
              <w:snapToGrid w:val="0"/>
              <w:spacing w:line="200" w:lineRule="atLeast"/>
              <w:rPr>
                <w:rFonts w:cs="Times New Roman"/>
                <w:sz w:val="20"/>
                <w:szCs w:val="20"/>
              </w:rPr>
            </w:pPr>
            <w:r>
              <w:rPr>
                <w:rFonts w:eastAsia="CMR10" w:cs="Times New Roman"/>
                <w:color w:val="000000"/>
                <w:sz w:val="20"/>
                <w:szCs w:val="20"/>
                <w:lang w:eastAsia="en-US" w:bidi="en-US"/>
              </w:rPr>
              <w:t>R = (Annual Average Credit Interest Rate – Inflation Interest Rate)</w:t>
            </w:r>
          </w:p>
        </w:tc>
        <w:tc>
          <w:tcPr>
            <w:tcW w:w="1719" w:type="dxa"/>
            <w:tcBorders>
              <w:bottom w:val="single" w:sz="4" w:space="0" w:color="000000"/>
            </w:tcBorders>
            <w:shd w:val="clear" w:color="auto" w:fill="auto"/>
            <w:vAlign w:val="center"/>
          </w:tcPr>
          <w:p w:rsidR="00000000" w:rsidRDefault="00C55CA2">
            <w:pPr>
              <w:pStyle w:val="Contenudetableau"/>
              <w:spacing w:line="200" w:lineRule="atLeast"/>
              <w:rPr>
                <w:rFonts w:eastAsia="CMR10" w:cs="Times New Roman"/>
                <w:color w:val="000000"/>
                <w:sz w:val="20"/>
                <w:szCs w:val="20"/>
                <w:lang w:val="en-GB"/>
              </w:rPr>
            </w:pPr>
            <w:r>
              <w:rPr>
                <w:rFonts w:cs="Times New Roman"/>
                <w:sz w:val="20"/>
                <w:szCs w:val="20"/>
              </w:rPr>
              <w:t>BCEAO Databas</w:t>
            </w:r>
            <w:r>
              <w:rPr>
                <w:rFonts w:cs="Times New Roman"/>
                <w:sz w:val="20"/>
                <w:szCs w:val="20"/>
              </w:rPr>
              <w:t>e Eden</w:t>
            </w:r>
          </w:p>
        </w:tc>
      </w:tr>
    </w:tbl>
    <w:p w:rsidR="00C55CA2" w:rsidRDefault="00C55CA2">
      <w:pPr>
        <w:widowControl/>
        <w:spacing w:before="57" w:after="170" w:line="200" w:lineRule="atLeast"/>
        <w:ind w:left="850" w:hanging="850"/>
        <w:jc w:val="both"/>
      </w:pPr>
      <w:r>
        <w:rPr>
          <w:rFonts w:eastAsia="CMR10" w:cs="Times New Roman"/>
          <w:color w:val="000000"/>
          <w:sz w:val="20"/>
          <w:szCs w:val="20"/>
          <w:lang w:val="en-GB"/>
        </w:rPr>
        <w:t>Source</w:t>
      </w:r>
      <w:r>
        <w:rPr>
          <w:rFonts w:eastAsia="CMR10" w:cs="Times New Roman"/>
          <w:color w:val="000000"/>
          <w:sz w:val="20"/>
          <w:szCs w:val="20"/>
          <w:lang w:val="en-GB"/>
        </w:rPr>
        <w:t xml:space="preserve">: </w:t>
      </w:r>
      <w:r>
        <w:rPr>
          <w:rFonts w:eastAsia="CMR10" w:cs="Times New Roman"/>
          <w:color w:val="000000"/>
          <w:sz w:val="20"/>
          <w:szCs w:val="20"/>
          <w:lang w:eastAsia="en-US" w:bidi="en-US"/>
        </w:rPr>
        <w:t>Author</w:t>
      </w:r>
    </w:p>
    <w:sectPr w:rsidR="00C55CA2">
      <w:headerReference w:type="default" r:id="rId11"/>
      <w:footerReference w:type="even" r:id="rId12"/>
      <w:footerReference w:type="default" r:id="rId13"/>
      <w:headerReference w:type="first" r:id="rId14"/>
      <w:footerReference w:type="first" r:id="rId15"/>
      <w:pgSz w:w="11906" w:h="16838"/>
      <w:pgMar w:top="2260" w:right="2551" w:bottom="2260" w:left="2551" w:header="1701" w:footer="1701"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CA2" w:rsidRDefault="00C55CA2">
      <w:r>
        <w:separator/>
      </w:r>
    </w:p>
  </w:endnote>
  <w:endnote w:type="continuationSeparator" w:id="0">
    <w:p w:rsidR="00C55CA2" w:rsidRDefault="00C55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CMR10">
    <w:charset w:val="00"/>
    <w:family w:val="auto"/>
    <w:pitch w:val="default"/>
  </w:font>
  <w:font w:name="Garamond">
    <w:panose1 w:val="02020404030301010803"/>
    <w:charset w:val="00"/>
    <w:family w:val="roman"/>
    <w:pitch w:val="variable"/>
    <w:sig w:usb0="00000287" w:usb1="00000000" w:usb2="00000000" w:usb3="00000000" w:csb0="0000009F" w:csb1="00000000"/>
  </w:font>
  <w:font w:name="TimesNewRomanPSMT">
    <w:charset w:val="00"/>
    <w:family w:val="roman"/>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55CA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55CA2">
    <w:pPr>
      <w:pStyle w:val="Footer"/>
      <w:jc w:val="right"/>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55CA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CA2" w:rsidRDefault="00C55CA2">
      <w:r>
        <w:separator/>
      </w:r>
    </w:p>
  </w:footnote>
  <w:footnote w:type="continuationSeparator" w:id="0">
    <w:p w:rsidR="00C55CA2" w:rsidRDefault="00C55C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55C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55CA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740"/>
    <w:rsid w:val="00746740"/>
    <w:rsid w:val="00C55CA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E863AE18-7974-4E74-ADCB-50AA69A81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SimSun" w:cs="Mangal"/>
      <w:kern w:val="1"/>
      <w:sz w:val="24"/>
      <w:szCs w:val="24"/>
      <w:lang w:val="en-US"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customStyle="1" w:styleId="Caractresdenumrotation">
    <w:name w:val="Caractères de numérotation"/>
  </w:style>
  <w:style w:type="paragraph" w:customStyle="1" w:styleId="Titre">
    <w:name w:val="Titre"/>
    <w:basedOn w:val="Normal"/>
    <w:next w:val="BodyText"/>
    <w:pPr>
      <w:keepNext/>
      <w:spacing w:before="240" w:after="120"/>
    </w:pPr>
    <w:rPr>
      <w:rFonts w:ascii="Arial" w:eastAsia="Microsoft YaHei" w:hAnsi="Arial"/>
      <w:sz w:val="28"/>
      <w:szCs w:val="28"/>
    </w:rPr>
  </w:style>
  <w:style w:type="paragraph" w:styleId="BodyText">
    <w:name w:val="Body Text"/>
    <w:basedOn w:val="Normal"/>
    <w:pPr>
      <w:spacing w:after="120"/>
    </w:pPr>
  </w:style>
  <w:style w:type="paragraph" w:styleId="List">
    <w:name w:val="List"/>
    <w:basedOn w:val="BodyText"/>
  </w:style>
  <w:style w:type="paragraph" w:customStyle="1" w:styleId="Lgende">
    <w:name w:val="Légende"/>
    <w:basedOn w:val="Normal"/>
    <w:pPr>
      <w:suppressLineNumbers/>
      <w:spacing w:before="120" w:after="120"/>
    </w:pPr>
    <w:rPr>
      <w:i/>
      <w:iCs/>
    </w:rPr>
  </w:style>
  <w:style w:type="paragraph" w:customStyle="1" w:styleId="Index">
    <w:name w:val="Index"/>
    <w:basedOn w:val="Normal"/>
    <w:pPr>
      <w:suppressLineNumbers/>
    </w:pPr>
  </w:style>
  <w:style w:type="paragraph" w:styleId="BodyText2">
    <w:name w:val="Body Text 2"/>
    <w:basedOn w:val="Normal"/>
    <w:pPr>
      <w:spacing w:before="200" w:after="200" w:line="400" w:lineRule="exact"/>
      <w:jc w:val="center"/>
    </w:pPr>
    <w:rPr>
      <w:sz w:val="32"/>
      <w:szCs w:val="32"/>
    </w:rPr>
  </w:style>
  <w:style w:type="paragraph" w:customStyle="1" w:styleId="Default">
    <w:name w:val="Default"/>
    <w:basedOn w:val="Normal"/>
    <w:pPr>
      <w:autoSpaceDE w:val="0"/>
    </w:pPr>
    <w:rPr>
      <w:rFonts w:eastAsia="Times New Roman" w:cs="Times New Roman"/>
      <w:color w:val="000000"/>
    </w:rPr>
  </w:style>
  <w:style w:type="paragraph" w:styleId="Header">
    <w:name w:val="header"/>
    <w:basedOn w:val="Normal"/>
    <w:pPr>
      <w:suppressLineNumbers/>
      <w:tabs>
        <w:tab w:val="center" w:pos="3402"/>
        <w:tab w:val="right" w:pos="6804"/>
      </w:tabs>
    </w:pPr>
  </w:style>
  <w:style w:type="paragraph" w:styleId="Footer">
    <w:name w:val="footer"/>
    <w:basedOn w:val="Normal"/>
    <w:pPr>
      <w:suppressLineNumbers/>
      <w:tabs>
        <w:tab w:val="center" w:pos="3402"/>
        <w:tab w:val="right" w:pos="6804"/>
      </w:tabs>
    </w:p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6462</Words>
  <Characters>35545</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Private Consumption in The WAEMU Zone Does Interest Rates Matter</vt:lpstr>
    </vt:vector>
  </TitlesOfParts>
  <Company>Microsoft</Company>
  <LinksUpToDate>false</LinksUpToDate>
  <CharactersWithSpaces>41924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Private Consumption in The WAEMU Zone Does Interest Rates Matter</dc:title>
  <dc:subject/>
  <dc:creator>Adama COMBEY</dc:creator>
  <cp:keywords>Private Consumption, Interest Rates, WAEMU, Pooled Mean Group, Mean Group, Dynamic Fixed-Effects Estimator, BCEAO, UEMOA, Taux d'intérêt, consommation privée, liberalisation financière, education financière</cp:keywords>
  <cp:lastModifiedBy>flama</cp:lastModifiedBy>
  <cp:revision>2</cp:revision>
  <cp:lastPrinted>1601-01-01T00:00:00Z</cp:lastPrinted>
  <dcterms:created xsi:type="dcterms:W3CDTF">2016-12-16T19:33:00Z</dcterms:created>
  <dcterms:modified xsi:type="dcterms:W3CDTF">2016-12-16T19:33:00Z</dcterms:modified>
</cp:coreProperties>
</file>