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D08" w:rsidRDefault="00452D08" w:rsidP="00452D08">
      <w:pPr>
        <w:pStyle w:val="Sinespaciado"/>
        <w:jc w:val="center"/>
        <w:rPr>
          <w:rFonts w:ascii="Times New Roman" w:hAnsi="Times New Roman" w:cs="Times New Roman"/>
          <w:b/>
          <w:sz w:val="32"/>
          <w:lang w:val="en-US"/>
        </w:rPr>
      </w:pPr>
      <w:r w:rsidRPr="00426E3E">
        <w:rPr>
          <w:rFonts w:ascii="Times New Roman" w:hAnsi="Times New Roman" w:cs="Times New Roman"/>
          <w:b/>
          <w:sz w:val="32"/>
          <w:lang w:val="en-US"/>
        </w:rPr>
        <w:t>Differential Approach and Capabilities: An Analysis for the Colombia's Population Displaced</w:t>
      </w:r>
    </w:p>
    <w:p w:rsidR="00452D08" w:rsidRDefault="00452D08" w:rsidP="00452D08">
      <w:pPr>
        <w:pStyle w:val="Sinespaciado"/>
        <w:jc w:val="center"/>
        <w:rPr>
          <w:rFonts w:ascii="Times New Roman" w:hAnsi="Times New Roman" w:cs="Times New Roman"/>
          <w:b/>
          <w:sz w:val="32"/>
          <w:lang w:val="en-US"/>
        </w:rPr>
      </w:pPr>
    </w:p>
    <w:p w:rsidR="00452D08" w:rsidRDefault="00452D08" w:rsidP="00452D08">
      <w:pPr>
        <w:pStyle w:val="Sinespaciado"/>
        <w:jc w:val="center"/>
        <w:rPr>
          <w:rFonts w:ascii="Times New Roman" w:hAnsi="Times New Roman" w:cs="Times New Roman"/>
          <w:sz w:val="32"/>
          <w:lang w:val="en-US"/>
        </w:rPr>
      </w:pPr>
      <w:r w:rsidRPr="00BC08D1">
        <w:rPr>
          <w:rFonts w:ascii="Times New Roman" w:hAnsi="Times New Roman" w:cs="Times New Roman"/>
          <w:i/>
          <w:sz w:val="32"/>
          <w:lang w:val="en-US"/>
        </w:rPr>
        <w:t>By Dorian Fernando León</w:t>
      </w:r>
    </w:p>
    <w:p w:rsidR="00452D08" w:rsidRDefault="00452D08" w:rsidP="00452D08">
      <w:pPr>
        <w:pStyle w:val="Sinespaciado"/>
        <w:jc w:val="both"/>
        <w:rPr>
          <w:rFonts w:ascii="Times New Roman" w:hAnsi="Times New Roman" w:cs="Times New Roman"/>
          <w:lang w:val="en-US"/>
        </w:rPr>
      </w:pPr>
      <w:r w:rsidRPr="0037529E">
        <w:rPr>
          <w:rFonts w:ascii="Times New Roman" w:hAnsi="Times New Roman" w:cs="Times New Roman"/>
          <w:lang w:val="en-US"/>
        </w:rPr>
        <w:t xml:space="preserve">Faculty of Economics and Management, University Industrial of Santander, </w:t>
      </w:r>
    </w:p>
    <w:p w:rsidR="00452D08" w:rsidRPr="00522AEB" w:rsidRDefault="00452D08" w:rsidP="00452D08">
      <w:pPr>
        <w:pStyle w:val="Sinespaciado"/>
        <w:jc w:val="both"/>
        <w:rPr>
          <w:rFonts w:ascii="Times New Roman" w:hAnsi="Times New Roman" w:cs="Times New Roman"/>
          <w:sz w:val="32"/>
          <w:lang w:val="en-US"/>
        </w:rPr>
      </w:pPr>
      <w:r w:rsidRPr="00A9019D">
        <w:rPr>
          <w:rFonts w:ascii="Times New Roman" w:hAnsi="Times New Roman" w:cs="Times New Roman"/>
        </w:rPr>
        <w:t xml:space="preserve">Bucaramanga, Colombia. </w:t>
      </w:r>
      <w:r w:rsidRPr="00C27D56">
        <w:rPr>
          <w:rFonts w:ascii="Times New Roman" w:hAnsi="Times New Roman" w:cs="Times New Roman"/>
        </w:rPr>
        <w:t xml:space="preserve">Email: </w:t>
      </w:r>
      <w:hyperlink r:id="rId8" w:history="1">
        <w:r w:rsidRPr="00C27D56">
          <w:rPr>
            <w:rStyle w:val="Hipervnculo"/>
            <w:rFonts w:ascii="Times New Roman" w:hAnsi="Times New Roman" w:cs="Times New Roman"/>
          </w:rPr>
          <w:t>dorian.leon@correo.uis.edu.co</w:t>
        </w:r>
      </w:hyperlink>
      <w:r w:rsidRPr="00C27D56">
        <w:rPr>
          <w:rFonts w:ascii="Times New Roman" w:hAnsi="Times New Roman" w:cs="Times New Roman"/>
        </w:rPr>
        <w:t xml:space="preserve">; Tel. </w:t>
      </w:r>
      <w:r>
        <w:rPr>
          <w:rFonts w:ascii="Times New Roman" w:hAnsi="Times New Roman" w:cs="Times New Roman"/>
          <w:lang w:val="en-US"/>
        </w:rPr>
        <w:t>+573183203617</w:t>
      </w:r>
    </w:p>
    <w:p w:rsidR="00452D08" w:rsidRPr="00522AEB" w:rsidRDefault="00452D08" w:rsidP="00452D08">
      <w:pPr>
        <w:spacing w:line="480" w:lineRule="auto"/>
        <w:jc w:val="both"/>
        <w:rPr>
          <w:rFonts w:ascii="Times New Roman" w:hAnsi="Times New Roman" w:cs="Times New Roman"/>
          <w:b/>
          <w:lang w:val="en-US"/>
        </w:rPr>
      </w:pPr>
    </w:p>
    <w:p w:rsidR="00452D08" w:rsidRPr="008D44F3" w:rsidRDefault="00452D08" w:rsidP="00452D08">
      <w:pPr>
        <w:pStyle w:val="Sinespaciado"/>
        <w:ind w:firstLine="284"/>
        <w:rPr>
          <w:rFonts w:ascii="Times New Roman" w:hAnsi="Times New Roman" w:cs="Times New Roman"/>
          <w:sz w:val="20"/>
          <w:lang w:val="en-US"/>
        </w:rPr>
      </w:pPr>
      <w:r w:rsidRPr="008D44F3">
        <w:rPr>
          <w:rFonts w:ascii="Times New Roman" w:hAnsi="Times New Roman" w:cs="Times New Roman"/>
          <w:b/>
          <w:sz w:val="20"/>
          <w:lang w:val="en-US"/>
        </w:rPr>
        <w:t xml:space="preserve">Abstract. </w:t>
      </w:r>
      <w:r w:rsidRPr="00E71ED6">
        <w:rPr>
          <w:rFonts w:ascii="Times New Roman" w:hAnsi="Times New Roman" w:cs="Times New Roman"/>
          <w:sz w:val="20"/>
          <w:lang w:val="en-US"/>
        </w:rPr>
        <w:t>The conceptual framework of the capability approach proposed by Amartya Sen has never been used specifically in the dynamics of forced displacement or in the analysis of the quality of life of the population victims of the Colombian armed conflict. Reason why, this article affirms that the approach of capabilities agrees with the differential approach proposed by the Colombian Constitutional Court. Consequently, the objective is to provide a conceptual aproximation to the Amartya Sen's capability approach and differential approach proposed by the from Colombia Constitutional Court and to point out that the capability approach is relevant in the design, implementation and evaluation of public policies directed at the victim population. Similarly, recent data on the dynamics of forced displacement in the city of Bucaramanga (Colombia) are provided</w:t>
      </w:r>
      <w:r w:rsidRPr="008D44F3">
        <w:rPr>
          <w:rFonts w:ascii="Times New Roman" w:hAnsi="Times New Roman" w:cs="Times New Roman"/>
          <w:sz w:val="20"/>
          <w:lang w:val="en-US"/>
        </w:rPr>
        <w:t>.</w:t>
      </w:r>
    </w:p>
    <w:p w:rsidR="00452D08" w:rsidRPr="008D44F3" w:rsidRDefault="00452D08" w:rsidP="00452D08">
      <w:pPr>
        <w:pStyle w:val="Sinespaciado"/>
        <w:rPr>
          <w:rFonts w:ascii="Times New Roman" w:hAnsi="Times New Roman" w:cs="Times New Roman"/>
          <w:sz w:val="20"/>
          <w:lang w:val="en-US"/>
        </w:rPr>
      </w:pPr>
      <w:r w:rsidRPr="008D44F3">
        <w:rPr>
          <w:rFonts w:ascii="Times New Roman" w:hAnsi="Times New Roman" w:cs="Times New Roman"/>
          <w:b/>
          <w:sz w:val="20"/>
          <w:lang w:val="en-US"/>
        </w:rPr>
        <w:t>Keywords:</w:t>
      </w:r>
      <w:r w:rsidRPr="008D44F3">
        <w:rPr>
          <w:rFonts w:ascii="Times New Roman" w:hAnsi="Times New Roman" w:cs="Times New Roman"/>
          <w:sz w:val="20"/>
          <w:lang w:val="en-US"/>
        </w:rPr>
        <w:t xml:space="preserve"> capability approach, forced displacement, Colombian armed conflict</w:t>
      </w:r>
    </w:p>
    <w:p w:rsidR="00452D08" w:rsidRDefault="00452D08" w:rsidP="00452D08">
      <w:pPr>
        <w:pStyle w:val="Sinespaciado"/>
        <w:rPr>
          <w:rFonts w:ascii="Times New Roman" w:hAnsi="Times New Roman" w:cs="Times New Roman"/>
          <w:sz w:val="20"/>
          <w:lang w:val="en-US"/>
        </w:rPr>
      </w:pPr>
      <w:r w:rsidRPr="008D44F3">
        <w:rPr>
          <w:rFonts w:ascii="Times New Roman" w:hAnsi="Times New Roman" w:cs="Times New Roman"/>
          <w:b/>
          <w:sz w:val="20"/>
          <w:lang w:val="en-US"/>
        </w:rPr>
        <w:t xml:space="preserve">JEL Codes: </w:t>
      </w:r>
      <w:r w:rsidRPr="008D44F3">
        <w:rPr>
          <w:rFonts w:ascii="Times New Roman" w:hAnsi="Times New Roman" w:cs="Times New Roman"/>
          <w:sz w:val="20"/>
          <w:lang w:val="en-US"/>
        </w:rPr>
        <w:t>I31, I32, D63</w:t>
      </w:r>
    </w:p>
    <w:p w:rsidR="00452D08" w:rsidRPr="008D44F3" w:rsidRDefault="00452D08" w:rsidP="00452D08">
      <w:pPr>
        <w:pStyle w:val="Sinespaciado"/>
        <w:rPr>
          <w:rFonts w:ascii="Times New Roman" w:hAnsi="Times New Roman" w:cs="Times New Roman"/>
          <w:b/>
          <w:sz w:val="20"/>
          <w:lang w:val="en-US"/>
        </w:rPr>
      </w:pPr>
    </w:p>
    <w:p w:rsidR="002C6FE3" w:rsidRDefault="002C6FE3" w:rsidP="002C6FE3">
      <w:pPr>
        <w:pStyle w:val="Sinespaciado"/>
        <w:numPr>
          <w:ilvl w:val="0"/>
          <w:numId w:val="4"/>
        </w:numPr>
        <w:jc w:val="both"/>
        <w:rPr>
          <w:rFonts w:ascii="Times New Roman" w:hAnsi="Times New Roman" w:cs="Times New Roman"/>
          <w:b/>
          <w:sz w:val="28"/>
          <w:lang w:val="en-US"/>
        </w:rPr>
      </w:pPr>
      <w:r w:rsidRPr="00B35930">
        <w:rPr>
          <w:rFonts w:ascii="Times New Roman" w:hAnsi="Times New Roman" w:cs="Times New Roman"/>
          <w:b/>
          <w:sz w:val="28"/>
          <w:lang w:val="en-US"/>
        </w:rPr>
        <w:t>Introduction</w:t>
      </w:r>
    </w:p>
    <w:p w:rsidR="00ED6737" w:rsidRDefault="00E61AF8" w:rsidP="00E61AF8">
      <w:pPr>
        <w:pStyle w:val="Sinespaciado"/>
        <w:ind w:firstLine="284"/>
        <w:jc w:val="both"/>
        <w:rPr>
          <w:rFonts w:ascii="Times New Roman" w:hAnsi="Times New Roman" w:cs="Times New Roman"/>
          <w:lang w:val="en-US"/>
        </w:rPr>
      </w:pPr>
      <w:r w:rsidRPr="00E61AF8">
        <w:rPr>
          <w:rFonts w:ascii="Times New Roman" w:hAnsi="Times New Roman" w:cs="Times New Roman"/>
          <w:lang w:val="en-US"/>
        </w:rPr>
        <w:t xml:space="preserve">The Sen's capability approach evaluates the quality of life in function not only of what we get to live but also </w:t>
      </w:r>
      <w:r w:rsidR="00AD2E3B">
        <w:rPr>
          <w:rFonts w:ascii="Times New Roman" w:hAnsi="Times New Roman" w:cs="Times New Roman"/>
          <w:lang w:val="en-US"/>
        </w:rPr>
        <w:t xml:space="preserve">of </w:t>
      </w:r>
      <w:r w:rsidRPr="00E61AF8">
        <w:rPr>
          <w:rFonts w:ascii="Times New Roman" w:hAnsi="Times New Roman" w:cs="Times New Roman"/>
          <w:lang w:val="en-US"/>
        </w:rPr>
        <w:t>the freedom we really have choose between different styles and ways of life. Consequently, the capability approach emerges as an alternative to standard economic theory by incorporating ethical principles into economic theory</w:t>
      </w:r>
      <w:r w:rsidR="008D7CAC">
        <w:rPr>
          <w:rFonts w:ascii="Times New Roman" w:hAnsi="Times New Roman" w:cs="Times New Roman"/>
          <w:lang w:val="en-US"/>
        </w:rPr>
        <w:t xml:space="preserve"> (</w:t>
      </w:r>
      <w:r w:rsidR="00E26BA0">
        <w:rPr>
          <w:rFonts w:ascii="Times New Roman" w:hAnsi="Times New Roman" w:cs="Times New Roman"/>
          <w:lang w:val="en-US"/>
        </w:rPr>
        <w:t>see Note</w:t>
      </w:r>
      <w:r w:rsidR="00E65963">
        <w:rPr>
          <w:rFonts w:ascii="Times New Roman" w:hAnsi="Times New Roman" w:cs="Times New Roman"/>
          <w:lang w:val="en-US"/>
        </w:rPr>
        <w:t xml:space="preserve"> 1</w:t>
      </w:r>
      <w:r w:rsidR="00E26BA0">
        <w:rPr>
          <w:rFonts w:ascii="Times New Roman" w:hAnsi="Times New Roman" w:cs="Times New Roman"/>
          <w:lang w:val="en-US"/>
        </w:rPr>
        <w:t xml:space="preserve"> at the end</w:t>
      </w:r>
      <w:r w:rsidR="008D7CAC">
        <w:rPr>
          <w:rFonts w:ascii="Times New Roman" w:hAnsi="Times New Roman" w:cs="Times New Roman"/>
          <w:lang w:val="en-US"/>
        </w:rPr>
        <w:t>)</w:t>
      </w:r>
      <w:r w:rsidR="00ED6737">
        <w:rPr>
          <w:rFonts w:ascii="Times New Roman" w:hAnsi="Times New Roman" w:cs="Times New Roman"/>
          <w:lang w:val="en-US"/>
        </w:rPr>
        <w:t xml:space="preserve">. </w:t>
      </w:r>
    </w:p>
    <w:p w:rsidR="00E61AF8" w:rsidRPr="00E61AF8" w:rsidRDefault="00E61AF8" w:rsidP="00E61AF8">
      <w:pPr>
        <w:pStyle w:val="Sinespaciado"/>
        <w:ind w:firstLine="284"/>
        <w:jc w:val="both"/>
        <w:rPr>
          <w:rFonts w:ascii="Times New Roman" w:hAnsi="Times New Roman" w:cs="Times New Roman"/>
          <w:lang w:val="en-US"/>
        </w:rPr>
      </w:pPr>
      <w:r w:rsidRPr="00E61AF8">
        <w:rPr>
          <w:rFonts w:ascii="Times New Roman" w:hAnsi="Times New Roman" w:cs="Times New Roman"/>
          <w:lang w:val="en-US"/>
        </w:rPr>
        <w:t>Sen's approach changes the perspective on poverty, inequality and human development by introducing concepts such as functionings and capability, where the first ones indicate what a person can do or be (their results) and the second ones go beyond what has been achieved and include the real but latent opportunities that in the case of selection would happen to become functioning: in other words capability represents the freedom that a person has to enjoy valuable functionings.</w:t>
      </w:r>
    </w:p>
    <w:p w:rsidR="00E61AF8" w:rsidRPr="00E61AF8" w:rsidRDefault="00E61AF8" w:rsidP="00E61AF8">
      <w:pPr>
        <w:pStyle w:val="Sinespaciado"/>
        <w:ind w:firstLine="284"/>
        <w:jc w:val="both"/>
        <w:rPr>
          <w:rFonts w:ascii="Times New Roman" w:hAnsi="Times New Roman" w:cs="Times New Roman"/>
          <w:lang w:val="en-US"/>
        </w:rPr>
      </w:pPr>
      <w:r w:rsidRPr="00E61AF8">
        <w:rPr>
          <w:rFonts w:ascii="Times New Roman" w:hAnsi="Times New Roman" w:cs="Times New Roman"/>
          <w:lang w:val="en-US"/>
        </w:rPr>
        <w:t>Finally, the capability approach emphasizes the importance of conversion factors: product of the heterogeneity of people.</w:t>
      </w:r>
    </w:p>
    <w:p w:rsidR="00E61AF8" w:rsidRPr="00E61AF8" w:rsidRDefault="00E61AF8" w:rsidP="00E61AF8">
      <w:pPr>
        <w:pStyle w:val="Sinespaciado"/>
        <w:ind w:firstLine="284"/>
        <w:jc w:val="both"/>
        <w:rPr>
          <w:rFonts w:ascii="Times New Roman" w:hAnsi="Times New Roman" w:cs="Times New Roman"/>
          <w:lang w:val="en-US"/>
        </w:rPr>
      </w:pPr>
      <w:r w:rsidRPr="00E61AF8">
        <w:rPr>
          <w:rFonts w:ascii="Times New Roman" w:hAnsi="Times New Roman" w:cs="Times New Roman"/>
          <w:lang w:val="en-US"/>
        </w:rPr>
        <w:t xml:space="preserve">On the other hand, the differential approach is the appropriate legal instrument in Colombia to reverse or avoid processes and acts that generate conditions of discrimination and violence that impede the effective enjoyment of rights of the victim population of the armed conflict. </w:t>
      </w:r>
    </w:p>
    <w:p w:rsidR="00E61AF8" w:rsidRPr="00E61AF8" w:rsidRDefault="00E61AF8" w:rsidP="00E61AF8">
      <w:pPr>
        <w:pStyle w:val="Sinespaciado"/>
        <w:ind w:firstLine="284"/>
        <w:jc w:val="both"/>
        <w:rPr>
          <w:rFonts w:ascii="Times New Roman" w:hAnsi="Times New Roman" w:cs="Times New Roman"/>
          <w:lang w:val="en-US"/>
        </w:rPr>
      </w:pPr>
      <w:r w:rsidRPr="00E61AF8">
        <w:rPr>
          <w:rFonts w:ascii="Times New Roman" w:hAnsi="Times New Roman" w:cs="Times New Roman"/>
          <w:lang w:val="en-US"/>
        </w:rPr>
        <w:t>The differential approach is divided into:</w:t>
      </w:r>
    </w:p>
    <w:p w:rsidR="00E61AF8" w:rsidRPr="00E61AF8" w:rsidRDefault="00E61AF8" w:rsidP="00E61AF8">
      <w:pPr>
        <w:pStyle w:val="Sinespaciado"/>
        <w:ind w:firstLine="284"/>
        <w:jc w:val="both"/>
        <w:rPr>
          <w:rFonts w:ascii="Times New Roman" w:hAnsi="Times New Roman" w:cs="Times New Roman"/>
          <w:lang w:val="en-US"/>
        </w:rPr>
      </w:pPr>
      <w:r w:rsidRPr="00E61AF8">
        <w:rPr>
          <w:rFonts w:ascii="Times New Roman" w:hAnsi="Times New Roman" w:cs="Times New Roman"/>
          <w:lang w:val="en-US"/>
        </w:rPr>
        <w:t xml:space="preserve">(1) Ethnic groups, for Identify  and act on the differential needs for care and protection that public policies must have and state action as a whole for the protection of the individual and collective rights of ethnic groups that they live in </w:t>
      </w:r>
      <w:r w:rsidRPr="00E61AF8">
        <w:rPr>
          <w:rFonts w:ascii="Times New Roman" w:hAnsi="Times New Roman" w:cs="Times New Roman"/>
          <w:lang w:val="en-US"/>
        </w:rPr>
        <w:lastRenderedPageBreak/>
        <w:t xml:space="preserve">Colombia. In turn, this includes three human groups: (a) Indigenous Peoples, (b) Afro-Colombians, Blacks, Palanqueros and Raizales and (c) Rrom (gypsies). </w:t>
      </w:r>
    </w:p>
    <w:p w:rsidR="00E61AF8" w:rsidRPr="00E61AF8" w:rsidRDefault="00E61AF8" w:rsidP="00E61AF8">
      <w:pPr>
        <w:pStyle w:val="Sinespaciado"/>
        <w:ind w:firstLine="284"/>
        <w:jc w:val="both"/>
        <w:rPr>
          <w:rFonts w:ascii="Times New Roman" w:hAnsi="Times New Roman" w:cs="Times New Roman"/>
          <w:lang w:val="en-US"/>
        </w:rPr>
      </w:pPr>
      <w:r w:rsidRPr="00E61AF8">
        <w:rPr>
          <w:rFonts w:ascii="Times New Roman" w:hAnsi="Times New Roman" w:cs="Times New Roman"/>
          <w:lang w:val="en-US"/>
        </w:rPr>
        <w:t xml:space="preserve">(2) Gender, for Identify the stigmatization, discrimination and violation of rights by reason of sexuality and the gender roles and identities of people. Is divided for women and the LGBTI community. </w:t>
      </w:r>
    </w:p>
    <w:p w:rsidR="00E61AF8" w:rsidRPr="00E61AF8" w:rsidRDefault="00E61AF8" w:rsidP="00E61AF8">
      <w:pPr>
        <w:pStyle w:val="Sinespaciado"/>
        <w:ind w:firstLine="284"/>
        <w:jc w:val="both"/>
        <w:rPr>
          <w:rFonts w:ascii="Times New Roman" w:hAnsi="Times New Roman" w:cs="Times New Roman"/>
          <w:lang w:val="en-US"/>
        </w:rPr>
      </w:pPr>
      <w:r w:rsidRPr="00E61AF8">
        <w:rPr>
          <w:rFonts w:ascii="Times New Roman" w:hAnsi="Times New Roman" w:cs="Times New Roman"/>
          <w:lang w:val="en-US"/>
        </w:rPr>
        <w:t>(3) People's with disabilities, (4) life cycle, ie, children and adolescents, that not only more vulnerable to situations against their integrity, but that damage to them can irreversible.</w:t>
      </w:r>
    </w:p>
    <w:p w:rsidR="00117E63" w:rsidRDefault="00117E63" w:rsidP="00117E63">
      <w:pPr>
        <w:pStyle w:val="Sinespaciado"/>
        <w:rPr>
          <w:rFonts w:ascii="Times New Roman" w:hAnsi="Times New Roman" w:cs="Times New Roman"/>
          <w:lang w:val="en-US"/>
        </w:rPr>
      </w:pPr>
    </w:p>
    <w:p w:rsidR="00563CBB" w:rsidRPr="00117E63" w:rsidRDefault="00F657F3" w:rsidP="00117E63">
      <w:pPr>
        <w:pStyle w:val="Sinespaciado"/>
        <w:numPr>
          <w:ilvl w:val="0"/>
          <w:numId w:val="4"/>
        </w:numPr>
        <w:rPr>
          <w:rFonts w:ascii="Times New Roman" w:hAnsi="Times New Roman" w:cs="Times New Roman"/>
          <w:b/>
          <w:sz w:val="28"/>
          <w:lang w:val="en-US"/>
        </w:rPr>
      </w:pPr>
      <w:r w:rsidRPr="00117E63">
        <w:rPr>
          <w:rFonts w:ascii="Times New Roman" w:hAnsi="Times New Roman" w:cs="Times New Roman"/>
          <w:b/>
          <w:sz w:val="28"/>
          <w:lang w:val="en-US"/>
        </w:rPr>
        <w:t>Aproximation to the capability approach</w:t>
      </w:r>
    </w:p>
    <w:p w:rsidR="00117E63" w:rsidRPr="00117E63" w:rsidRDefault="00117E63" w:rsidP="00117E63">
      <w:pPr>
        <w:pStyle w:val="Sinespaciado"/>
        <w:ind w:firstLine="284"/>
        <w:rPr>
          <w:rFonts w:ascii="Times New Roman" w:hAnsi="Times New Roman" w:cs="Times New Roman"/>
          <w:lang w:val="en-US"/>
        </w:rPr>
      </w:pPr>
      <w:r w:rsidRPr="00117E63">
        <w:rPr>
          <w:rFonts w:ascii="Times New Roman" w:hAnsi="Times New Roman" w:cs="Times New Roman"/>
          <w:lang w:val="en-US"/>
        </w:rPr>
        <w:t>The capabilities approach (hereafter CA) proposed by Amartya Sen is an evaluative normative framework (not explanatory</w:t>
      </w:r>
      <w:r w:rsidR="00963DDE">
        <w:rPr>
          <w:rFonts w:ascii="Times New Roman" w:hAnsi="Times New Roman" w:cs="Times New Roman"/>
          <w:lang w:val="en-US"/>
        </w:rPr>
        <w:t xml:space="preserve">: </w:t>
      </w:r>
      <w:r w:rsidR="00963DDE" w:rsidRPr="00963DDE">
        <w:rPr>
          <w:rFonts w:ascii="Times New Roman" w:hAnsi="Times New Roman" w:cs="Times New Roman"/>
          <w:lang w:val="en-US"/>
        </w:rPr>
        <w:t>However, the concepts of functioning and capability can be used as explanatory elements in social phenomena or can be used in descriptions of poverty, inequality, quality of life and social change</w:t>
      </w:r>
      <w:r w:rsidRPr="00117E63">
        <w:rPr>
          <w:rFonts w:ascii="Times New Roman" w:hAnsi="Times New Roman" w:cs="Times New Roman"/>
          <w:lang w:val="en-US"/>
        </w:rPr>
        <w:t xml:space="preserve">), conceptual and flexibly ie, applicable and open to different disciplines and contexts for the design, formulation, implementation and evaluation of social agreements (Robeyns, 2003). The CA proposed by Sen's not a theory of justice, even if there is in him the </w:t>
      </w:r>
      <w:r w:rsidRPr="00E26BA0">
        <w:rPr>
          <w:rFonts w:ascii="Times New Roman" w:hAnsi="Times New Roman" w:cs="Times New Roman"/>
          <w:i/>
          <w:lang w:val="en-US"/>
        </w:rPr>
        <w:t>idea of justice</w:t>
      </w:r>
      <w:r w:rsidRPr="00117E63">
        <w:rPr>
          <w:rFonts w:ascii="Times New Roman" w:hAnsi="Times New Roman" w:cs="Times New Roman"/>
          <w:lang w:val="en-US"/>
        </w:rPr>
        <w:t xml:space="preserve"> and some version of a partial theory of justice suchs as proposed by Martha Nussbaum</w:t>
      </w:r>
      <w:r w:rsidR="00ED6737">
        <w:rPr>
          <w:rFonts w:ascii="Times New Roman" w:hAnsi="Times New Roman" w:cs="Times New Roman"/>
          <w:lang w:val="en-US"/>
        </w:rPr>
        <w:t>(see Note</w:t>
      </w:r>
      <w:r w:rsidR="00E65963">
        <w:rPr>
          <w:rFonts w:ascii="Times New Roman" w:hAnsi="Times New Roman" w:cs="Times New Roman"/>
          <w:lang w:val="en-US"/>
        </w:rPr>
        <w:t xml:space="preserve"> 2</w:t>
      </w:r>
      <w:r w:rsidR="00ED6737">
        <w:rPr>
          <w:rFonts w:ascii="Times New Roman" w:hAnsi="Times New Roman" w:cs="Times New Roman"/>
          <w:lang w:val="en-US"/>
        </w:rPr>
        <w:t xml:space="preserve">  at the end</w:t>
      </w:r>
      <w:r w:rsidR="009607B8">
        <w:rPr>
          <w:rFonts w:ascii="Times New Roman" w:hAnsi="Times New Roman" w:cs="Times New Roman"/>
          <w:lang w:val="en-US"/>
        </w:rPr>
        <w:t>)</w:t>
      </w:r>
      <w:r w:rsidRPr="00117E63">
        <w:rPr>
          <w:rFonts w:ascii="Times New Roman" w:hAnsi="Times New Roman" w:cs="Times New Roman"/>
          <w:lang w:val="en-US"/>
        </w:rPr>
        <w:t>.</w:t>
      </w:r>
    </w:p>
    <w:p w:rsidR="00117E63" w:rsidRPr="00117E63" w:rsidRDefault="00117E63" w:rsidP="00117E63">
      <w:pPr>
        <w:pStyle w:val="Sinespaciado"/>
        <w:ind w:firstLine="284"/>
        <w:rPr>
          <w:rFonts w:ascii="Times New Roman" w:hAnsi="Times New Roman" w:cs="Times New Roman"/>
          <w:lang w:val="en-US"/>
        </w:rPr>
      </w:pPr>
      <w:r w:rsidRPr="00117E63">
        <w:rPr>
          <w:rFonts w:ascii="Times New Roman" w:hAnsi="Times New Roman" w:cs="Times New Roman"/>
          <w:lang w:val="en-US"/>
        </w:rPr>
        <w:t>Some authors consider that the CA of Amartya Sen is an economic and philosophical proposal with roots in Aristotle, Adam Smith and Marx (Nussbaum, 2001; Robeyns, 2011). Sharing with Aristotle the perspective of human well-being and having, consequently, a vision of welfare broader than that of the economy centered in the utilitarian metric. Consequently, Crocker (2003) mentions that Sen proposes attack such problems from a conception of development formulated in terms of ethical principles and through the empowerment (see Ibrahim &amp; Alkire, 2007).</w:t>
      </w:r>
    </w:p>
    <w:p w:rsidR="00117E63" w:rsidRPr="00117E63" w:rsidRDefault="00117E63" w:rsidP="00117E63">
      <w:pPr>
        <w:pStyle w:val="Sinespaciado"/>
        <w:ind w:firstLine="284"/>
        <w:rPr>
          <w:rFonts w:ascii="Times New Roman" w:hAnsi="Times New Roman" w:cs="Times New Roman"/>
          <w:lang w:val="en-US"/>
        </w:rPr>
      </w:pPr>
      <w:r w:rsidRPr="00117E63">
        <w:rPr>
          <w:rFonts w:ascii="Times New Roman" w:hAnsi="Times New Roman" w:cs="Times New Roman"/>
          <w:lang w:val="en-US"/>
        </w:rPr>
        <w:t>As an intellectual discipline - which does not fall within a specific field - the capability approach evaluates the fulfillment of achievements or realizations "functionings" understood as sets of beings and doings, circumscribed to a space of capability. Such space is defined as the interrelation of elected (achieved) and potentially eligible functionings that provide a broader information base than utilitarianism and that Rawlsian primary goods.</w:t>
      </w:r>
    </w:p>
    <w:p w:rsidR="002756E6" w:rsidRPr="002756E6" w:rsidRDefault="00117E63" w:rsidP="002756E6">
      <w:pPr>
        <w:pStyle w:val="Sinespaciado"/>
        <w:ind w:firstLine="284"/>
        <w:rPr>
          <w:rFonts w:ascii="Times New Roman" w:hAnsi="Times New Roman" w:cs="Times New Roman"/>
          <w:lang w:val="en-US"/>
        </w:rPr>
      </w:pPr>
      <w:r w:rsidRPr="00117E63">
        <w:rPr>
          <w:rFonts w:ascii="Times New Roman" w:hAnsi="Times New Roman" w:cs="Times New Roman"/>
          <w:lang w:val="en-US"/>
        </w:rPr>
        <w:t>The functionings indicate the achievements of a person, that is, what it do or be (its results) and capabilities go beyond what has been achieved, including the real opportunities, although this is generally not explicitly observed. For example, a person may be in malnutrition (functioning) not because of lack of access to food (capability) but because he is in a fasting state, however, what is observed is his malnutrition and not the capability that has that person for to choose not to eat.</w:t>
      </w:r>
    </w:p>
    <w:p w:rsidR="002756E6" w:rsidRPr="002756E6" w:rsidRDefault="002756E6" w:rsidP="002756E6">
      <w:pPr>
        <w:pStyle w:val="Sinespaciado"/>
        <w:ind w:firstLine="284"/>
        <w:rPr>
          <w:rFonts w:ascii="Times New Roman" w:hAnsi="Times New Roman" w:cs="Times New Roman"/>
          <w:lang w:val="en-US"/>
        </w:rPr>
      </w:pPr>
      <w:r w:rsidRPr="002756E6">
        <w:rPr>
          <w:rFonts w:ascii="Times New Roman" w:hAnsi="Times New Roman" w:cs="Times New Roman"/>
          <w:lang w:val="en-US"/>
        </w:rPr>
        <w:t xml:space="preserve">From the above it can be said that (1) The functionings  distinguished from the resources that are used to achievement them, where the latter can be the same for two people, and yet achivement different states (functionings) of well-being; (2) The functionings are constitutive of the being of a person; (3) Individuals have reasons to give value different the same functionings and the reasons for this are due to differencesin the needs and cabilities, ie personal differences (age, disability, etc.) and environmental variabilities , geographical, </w:t>
      </w:r>
      <w:r w:rsidRPr="002756E6">
        <w:rPr>
          <w:rFonts w:ascii="Times New Roman" w:hAnsi="Times New Roman" w:cs="Times New Roman"/>
          <w:lang w:val="en-US"/>
        </w:rPr>
        <w:lastRenderedPageBreak/>
        <w:t xml:space="preserve">social and cultural) of the context; (4) a functioning can be bad (kill animals), however, the goodness or evil of other functionings may not be so simple, but rather depend on the context and/or normative theory. </w:t>
      </w:r>
    </w:p>
    <w:p w:rsidR="002756E6" w:rsidRPr="002756E6" w:rsidRDefault="002756E6" w:rsidP="002756E6">
      <w:pPr>
        <w:pStyle w:val="Sinespaciado"/>
        <w:ind w:firstLine="284"/>
        <w:rPr>
          <w:rFonts w:ascii="Times New Roman" w:hAnsi="Times New Roman" w:cs="Times New Roman"/>
          <w:lang w:val="en-US"/>
        </w:rPr>
      </w:pPr>
      <w:r w:rsidRPr="002756E6">
        <w:rPr>
          <w:rFonts w:ascii="Times New Roman" w:hAnsi="Times New Roman" w:cs="Times New Roman"/>
          <w:lang w:val="en-US"/>
        </w:rPr>
        <w:t xml:space="preserve">Other issues to be taken into account are: </w:t>
      </w:r>
    </w:p>
    <w:p w:rsidR="002756E6" w:rsidRPr="002756E6" w:rsidRDefault="001812AB" w:rsidP="002756E6">
      <w:pPr>
        <w:pStyle w:val="Sinespaciado"/>
        <w:ind w:firstLine="284"/>
        <w:rPr>
          <w:rFonts w:ascii="Times New Roman" w:hAnsi="Times New Roman" w:cs="Times New Roman"/>
          <w:lang w:val="en-US"/>
        </w:rPr>
      </w:pPr>
      <w:bookmarkStart w:id="0" w:name="_GoBack"/>
      <w:bookmarkEnd w:id="0"/>
      <w:r>
        <w:rPr>
          <w:rFonts w:ascii="Times New Roman" w:hAnsi="Times New Roman" w:cs="Times New Roman"/>
          <w:lang w:val="en-US"/>
        </w:rPr>
        <w:t>(a) Sen (1979</w:t>
      </w:r>
      <w:r w:rsidR="002756E6" w:rsidRPr="002756E6">
        <w:rPr>
          <w:rFonts w:ascii="Times New Roman" w:hAnsi="Times New Roman" w:cs="Times New Roman"/>
          <w:lang w:val="en-US"/>
        </w:rPr>
        <w:t>) proposes at the outset is to demonstrate that the issue of distributive justice involves defining ¿</w:t>
      </w:r>
      <w:r w:rsidR="002756E6" w:rsidRPr="002756E6">
        <w:rPr>
          <w:rFonts w:ascii="Times New Roman" w:hAnsi="Times New Roman" w:cs="Times New Roman"/>
          <w:i/>
          <w:lang w:val="en-US"/>
        </w:rPr>
        <w:t>equality of what</w:t>
      </w:r>
      <w:r w:rsidR="002756E6" w:rsidRPr="002756E6">
        <w:rPr>
          <w:rFonts w:ascii="Times New Roman" w:hAnsi="Times New Roman" w:cs="Times New Roman"/>
          <w:lang w:val="en-US"/>
        </w:rPr>
        <w:t>? Question that was raised from his Tanner Lectures at Stanford University in 1979 and published in 1980.</w:t>
      </w:r>
    </w:p>
    <w:p w:rsidR="002756E6" w:rsidRPr="002756E6" w:rsidRDefault="002756E6" w:rsidP="002756E6">
      <w:pPr>
        <w:pStyle w:val="Sinespaciado"/>
        <w:ind w:firstLine="284"/>
        <w:rPr>
          <w:rFonts w:ascii="Times New Roman" w:hAnsi="Times New Roman" w:cs="Times New Roman"/>
          <w:lang w:val="en-US"/>
        </w:rPr>
      </w:pPr>
      <w:r w:rsidRPr="002756E6">
        <w:rPr>
          <w:rFonts w:ascii="Times New Roman" w:hAnsi="Times New Roman" w:cs="Times New Roman"/>
          <w:lang w:val="en-US"/>
        </w:rPr>
        <w:t>(b) In ‘¿Equality of what?’ Sen emphasizes the importance of taking into account the heterogeneity of people, diversity not contemplated by Rawls, hence, this is the distance Sen takes from Rawls: for not regard to what the primary goods make to people.</w:t>
      </w:r>
    </w:p>
    <w:p w:rsidR="002756E6" w:rsidRPr="002756E6" w:rsidRDefault="002756E6" w:rsidP="002756E6">
      <w:pPr>
        <w:pStyle w:val="Sinespaciado"/>
        <w:ind w:firstLine="284"/>
        <w:rPr>
          <w:rFonts w:ascii="Times New Roman" w:hAnsi="Times New Roman" w:cs="Times New Roman"/>
          <w:lang w:val="en-US"/>
        </w:rPr>
      </w:pPr>
      <w:r w:rsidRPr="002756E6">
        <w:rPr>
          <w:rFonts w:ascii="Times New Roman" w:hAnsi="Times New Roman" w:cs="Times New Roman"/>
          <w:lang w:val="en-US"/>
        </w:rPr>
        <w:t xml:space="preserve">(c) Regarding freedom, for Sen and his CA (focused on real human development), this translates into a development of freedom not only negative but also positive, very similar to the notion of freedom of republicanism. </w:t>
      </w:r>
    </w:p>
    <w:p w:rsidR="002756E6" w:rsidRPr="002756E6" w:rsidRDefault="002756E6" w:rsidP="002756E6">
      <w:pPr>
        <w:pStyle w:val="Sinespaciado"/>
        <w:ind w:firstLine="284"/>
        <w:rPr>
          <w:rFonts w:ascii="Times New Roman" w:hAnsi="Times New Roman" w:cs="Times New Roman"/>
          <w:lang w:val="en-US"/>
        </w:rPr>
      </w:pPr>
      <w:r w:rsidRPr="002756E6">
        <w:rPr>
          <w:rFonts w:ascii="Times New Roman" w:hAnsi="Times New Roman" w:cs="Times New Roman"/>
          <w:lang w:val="en-US"/>
        </w:rPr>
        <w:t>(d) the approach to capability does not postulate that personal income is not an important element in the fight against poverty, exclusion and other deprivations, what it says is that due to human diversity and contexts, there  are those who  more easily convert income and other goods into better forms of life . In this sense, such diversity must be kept in mind in the formulation, implementation and evaluation of public policies aimed at distribution.</w:t>
      </w:r>
    </w:p>
    <w:p w:rsidR="00E65963" w:rsidRDefault="002756E6" w:rsidP="00E65963">
      <w:pPr>
        <w:pStyle w:val="Sinespaciado"/>
        <w:ind w:firstLine="284"/>
        <w:jc w:val="both"/>
        <w:rPr>
          <w:rFonts w:ascii="Times New Roman" w:hAnsi="Times New Roman" w:cs="Times New Roman"/>
          <w:lang w:val="en-US"/>
        </w:rPr>
      </w:pPr>
      <w:r w:rsidRPr="002756E6">
        <w:rPr>
          <w:rFonts w:ascii="Times New Roman" w:hAnsi="Times New Roman" w:cs="Times New Roman"/>
          <w:lang w:val="en-US"/>
        </w:rPr>
        <w:t xml:space="preserve">(e)  Exists sufficient consensus to consider that absence the capabilities affects life in different dimensions and its impact reaches the displaced population within the framework of internal armed conflict: aggravating </w:t>
      </w:r>
      <w:r w:rsidR="00E65963">
        <w:rPr>
          <w:rFonts w:ascii="Times New Roman" w:hAnsi="Times New Roman" w:cs="Times New Roman"/>
          <w:lang w:val="en-US"/>
        </w:rPr>
        <w:t xml:space="preserve">well-being and quality of life (see Note 3 at the end). </w:t>
      </w:r>
    </w:p>
    <w:p w:rsidR="002756E6" w:rsidRPr="002756E6" w:rsidRDefault="002756E6" w:rsidP="002756E6">
      <w:pPr>
        <w:pStyle w:val="Sinespaciado"/>
        <w:ind w:firstLine="284"/>
        <w:rPr>
          <w:rFonts w:ascii="Times New Roman" w:hAnsi="Times New Roman" w:cs="Times New Roman"/>
          <w:lang w:val="en-US"/>
        </w:rPr>
      </w:pPr>
      <w:r w:rsidRPr="002756E6">
        <w:rPr>
          <w:rFonts w:ascii="Times New Roman" w:hAnsi="Times New Roman" w:cs="Times New Roman"/>
          <w:lang w:val="en-US"/>
        </w:rPr>
        <w:t>(f) The dynamics of the armed conflict and its manifestations of poverty have been significant in the country where today there are large numbers of displaced persons, most of them housed in precarious settlements.</w:t>
      </w:r>
    </w:p>
    <w:p w:rsidR="002756E6" w:rsidRDefault="002756E6" w:rsidP="002756E6">
      <w:pPr>
        <w:pStyle w:val="Sinespaciado"/>
        <w:ind w:firstLine="284"/>
        <w:rPr>
          <w:rFonts w:ascii="Times New Roman" w:hAnsi="Times New Roman" w:cs="Times New Roman"/>
          <w:lang w:val="en-US"/>
        </w:rPr>
      </w:pPr>
      <w:r w:rsidRPr="002756E6">
        <w:rPr>
          <w:rFonts w:ascii="Times New Roman" w:hAnsi="Times New Roman" w:cs="Times New Roman"/>
          <w:lang w:val="en-US"/>
        </w:rPr>
        <w:t>(g) The capability approach and specifically its conceptual framework, allows the analysis of the raison d'être of social mobilization, namely, the empowerment and to agency of affected communities victims of the internal armed conflict.</w:t>
      </w:r>
    </w:p>
    <w:p w:rsidR="002756E6" w:rsidRPr="00117E63" w:rsidRDefault="002756E6" w:rsidP="002756E6">
      <w:pPr>
        <w:pStyle w:val="Sinespaciado"/>
        <w:ind w:firstLine="284"/>
        <w:rPr>
          <w:rFonts w:ascii="Times New Roman" w:hAnsi="Times New Roman" w:cs="Times New Roman"/>
          <w:lang w:val="en-US"/>
        </w:rPr>
      </w:pPr>
    </w:p>
    <w:p w:rsidR="001C6B40" w:rsidRPr="006F0DF0" w:rsidRDefault="001C6B40" w:rsidP="006F0DF0">
      <w:pPr>
        <w:pStyle w:val="Sinespaciado"/>
        <w:numPr>
          <w:ilvl w:val="0"/>
          <w:numId w:val="4"/>
        </w:numPr>
        <w:rPr>
          <w:rFonts w:ascii="Times New Roman" w:hAnsi="Times New Roman" w:cs="Times New Roman"/>
          <w:b/>
          <w:lang w:val="en-US"/>
        </w:rPr>
      </w:pPr>
      <w:r w:rsidRPr="006F0DF0">
        <w:rPr>
          <w:rFonts w:ascii="Times New Roman" w:hAnsi="Times New Roman" w:cs="Times New Roman"/>
          <w:b/>
          <w:sz w:val="28"/>
          <w:lang w:val="en-US"/>
        </w:rPr>
        <w:t>Conceptual Framework of the Capability Approach</w:t>
      </w:r>
    </w:p>
    <w:p w:rsidR="006F0DF0" w:rsidRPr="006F0DF0" w:rsidRDefault="006F0DF0" w:rsidP="006F0DF0">
      <w:pPr>
        <w:pStyle w:val="Sinespaciado"/>
        <w:rPr>
          <w:rFonts w:ascii="Times New Roman" w:hAnsi="Times New Roman" w:cs="Times New Roman"/>
          <w:b/>
          <w:lang w:val="en-US"/>
        </w:rPr>
      </w:pPr>
      <w:r w:rsidRPr="006F0DF0">
        <w:rPr>
          <w:rFonts w:ascii="Times New Roman" w:hAnsi="Times New Roman" w:cs="Times New Roman"/>
          <w:b/>
          <w:lang w:val="en-US"/>
        </w:rPr>
        <w:t>Conversion Factors</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 xml:space="preserve">The concept of conversion factors applied to the CA has been widely disseminated by Robeyns (2000, 2003, 2004, 2005, 2011, 2016), who argues that the conversion factors are classified into three groups: (1) personal conversion factors, which are internal to the person, such as the metabolism, physical condition, sex, reading skills, or intelligence; (2) social conversion factors, related to the society in which one lives, such as public policies, social norms, practices that discriminate unfairly ,  and (3) environmental conversion factors, which arise from the physical or built environment in which the person lives: climate, pollution, propensity for earthquakes, and the presence or absence of seas and oceans. Ingrid Robeyns proposes the example of cycling that it contributes to the mobility of a person, however, depends on the physical condition of the person (a personal conversion factor), social mores, including whether women are Allows socially to ride a bicycle (a social conversion </w:t>
      </w:r>
      <w:r w:rsidRPr="006F0DF0">
        <w:rPr>
          <w:rFonts w:ascii="Times New Roman" w:hAnsi="Times New Roman" w:cs="Times New Roman"/>
          <w:lang w:val="en-US"/>
        </w:rPr>
        <w:lastRenderedPageBreak/>
        <w:t>factor), and the provision of passable roads (a factor of conversion of the environment).</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Therefore, the advantage of a person who does not suffer any disability or who learned to ride a bicycle as a child is higher than a person with a physical disability or someone who was never taught to ride a bicycle.</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t>Agency</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A crucial element of human well-being understood in a broad sense that goes beyond utility is the human agency. The agency is related to the quality of life (Sen, 1985, 1985a, 1992), but also includes the objectives of others and a deep commitment with actions that do not benefit (in the conventional sense) necessarily the agent that acts. Although there is no single agency definition (see Alkire, 2005), it is understood as the capability to act in terms of what a person values and has reason to value, or in other words, what a person is free to do And achieve in the pursuit of the achievement of the goals or values that the person considers important (Crocker, 2008; Crocker and Robeyns, 2009). The agency, although related to well-being, is distinct from this and, in turn, distinct from another concept as empowerment. In t</w:t>
      </w:r>
      <w:r w:rsidR="00963DDE">
        <w:rPr>
          <w:rFonts w:ascii="Times New Roman" w:hAnsi="Times New Roman" w:cs="Times New Roman"/>
          <w:lang w:val="en-US"/>
        </w:rPr>
        <w:t>his regard, says David Crocker “</w:t>
      </w:r>
      <w:r w:rsidRPr="006F0DF0">
        <w:rPr>
          <w:rFonts w:ascii="Times New Roman" w:hAnsi="Times New Roman" w:cs="Times New Roman"/>
          <w:lang w:val="en-US"/>
        </w:rPr>
        <w:t>The experts in ethics are indebted to Sen for his distinction made in 1985 between agency and wellbeing</w:t>
      </w:r>
      <w:r w:rsidR="00963DDE">
        <w:rPr>
          <w:rFonts w:ascii="Times New Roman" w:hAnsi="Times New Roman" w:cs="Times New Roman"/>
          <w:lang w:val="en-US"/>
        </w:rPr>
        <w:t>”</w:t>
      </w:r>
      <w:r w:rsidRPr="006F0DF0">
        <w:rPr>
          <w:rFonts w:ascii="Times New Roman" w:hAnsi="Times New Roman" w:cs="Times New Roman"/>
          <w:lang w:val="en-US"/>
        </w:rPr>
        <w:t xml:space="preserve"> (2016, p.66).</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t>Empowerment</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The concept of empowerment presents many definitions (Malhotra and Schuler, 2005, Alsop, Bertelsen and Holland, 2006), in other words, is a term that generates debate, which has been attributed to the existence of a wide variety of definitions and meanings in various socio-economic contexts (Ibrahim and Alkire, 2007). However, there is a consensus that it deals with the degree to which people are able to control their own destinies, even when their interests are opposed to those of other people with which they interact (Mason and Smith, 2003). In that sense, empowerment "grants" a power based on the accumulated resources and the results obtained with those resources (Uphoff, 2005). However, it is also argued that this power can either (1) create a radical change or (2) afford control (Rowlands, 1997, Oakley, 2001, Narayan, 2002). Finally, the agency, although necessary, is insufficient to empower. For example, women are empowered to the extent that, individually and collectively, they struggle with and (sometimes, at least) overcome the display of powers against their agency and wellbeing</w:t>
      </w:r>
      <w:r>
        <w:rPr>
          <w:rFonts w:ascii="Times New Roman" w:hAnsi="Times New Roman" w:cs="Times New Roman"/>
          <w:lang w:val="en-US"/>
        </w:rPr>
        <w:t>.</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t>Functionings</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Freed</w:t>
      </w:r>
      <w:r w:rsidR="00A34D79">
        <w:rPr>
          <w:rFonts w:ascii="Times New Roman" w:hAnsi="Times New Roman" w:cs="Times New Roman"/>
          <w:lang w:val="en-US"/>
        </w:rPr>
        <w:t xml:space="preserve">oms according to Sen represent </w:t>
      </w:r>
      <w:r w:rsidRPr="006F0DF0">
        <w:rPr>
          <w:rFonts w:ascii="Times New Roman" w:hAnsi="Times New Roman" w:cs="Times New Roman"/>
          <w:lang w:val="en-US"/>
        </w:rPr>
        <w:t>cabilities</w:t>
      </w:r>
      <w:r w:rsidR="00A34D79">
        <w:rPr>
          <w:rFonts w:ascii="Times New Roman" w:hAnsi="Times New Roman" w:cs="Times New Roman"/>
          <w:lang w:val="en-US"/>
        </w:rPr>
        <w:t xml:space="preserve"> to realize or achieve </w:t>
      </w:r>
      <w:r w:rsidRPr="006F0DF0">
        <w:rPr>
          <w:rFonts w:ascii="Times New Roman" w:hAnsi="Times New Roman" w:cs="Times New Roman"/>
          <w:lang w:val="en-US"/>
        </w:rPr>
        <w:t>functions defined as sets of valuable being (s) that represent parts of a person's state (in particular the various things that he or she allows lead a good life) and which to be valuable must have a intersubjective component. In turn, according to Sen, one must distinguish between different types of functioning: some elementals such as being adequately nourished, being in good health, etc., and other more complex ones such as achieving self-respect or being socially integrated. In this regard it has been pointed out that people can value (ponder) these in different ways.</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t>Capability</w:t>
      </w:r>
    </w:p>
    <w:p w:rsidR="00963DDE"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 xml:space="preserve">If a person's functionings reflect his achievements, the set of cabilities represents the freedom to achieve, that is, the alternatives or functional combinations that this person to have for choose. </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lastRenderedPageBreak/>
        <w:t>Evaluation</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The evaluation proposes to order the functions and capability, keeping in mind that each person evaluates each functioning and capability in a different way (Sen, 1985). For example, an inhabitant of a religious community of whom he is not, or a person from a rich country of a poor one. These capabilities and functionings make up what would be a good life. Thus, for Sen, capability are a better way of assessing wellbeing, utility, income, or resources.</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t>Means</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They are considered as an input, but their value depends on the cability of individuals to convert them into valuable functions (such as riding a bicycle), which depends, for example, on personal physiology (such as health), social norms and physical environment For example, road quality).</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t>Valuation</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By valuation Sen understands that which is valued based on justified reasons, in other words it must be fulfilled that what is valued is valued by the person and by any impartial spectator. That is, the valuation is intersubjective.</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t>Utility</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The utility is a way out, because what people choose to do and be has an effect on their sense of subjective well-being. However the capability approach also considers to utility (feeling happy) as a valuable functioning.</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t>Wellbeing</w:t>
      </w:r>
    </w:p>
    <w:p w:rsidR="006F0DF0" w:rsidRPr="006F0DF0" w:rsidRDefault="006F0DF0" w:rsidP="006F0DF0">
      <w:pPr>
        <w:pStyle w:val="Sinespaciado"/>
        <w:ind w:firstLine="284"/>
        <w:rPr>
          <w:rFonts w:ascii="Times New Roman" w:hAnsi="Times New Roman" w:cs="Times New Roman"/>
          <w:lang w:val="en-US"/>
        </w:rPr>
      </w:pPr>
      <w:r w:rsidRPr="006F0DF0">
        <w:rPr>
          <w:rFonts w:ascii="Times New Roman" w:hAnsi="Times New Roman" w:cs="Times New Roman"/>
          <w:lang w:val="en-US"/>
        </w:rPr>
        <w:t>Means that - unlike welfare -mere presence and/ or possession of resources is worthless if they cannot be transformed into valuable functionings.</w:t>
      </w:r>
    </w:p>
    <w:p w:rsidR="006F0DF0" w:rsidRPr="006F0DF0" w:rsidRDefault="006F0DF0" w:rsidP="006F0DF0">
      <w:pPr>
        <w:pStyle w:val="Sinespaciado"/>
        <w:ind w:firstLine="284"/>
        <w:rPr>
          <w:rFonts w:ascii="Times New Roman" w:hAnsi="Times New Roman" w:cs="Times New Roman"/>
          <w:b/>
          <w:lang w:val="en-US"/>
        </w:rPr>
      </w:pPr>
      <w:r w:rsidRPr="006F0DF0">
        <w:rPr>
          <w:rFonts w:ascii="Times New Roman" w:hAnsi="Times New Roman" w:cs="Times New Roman"/>
          <w:b/>
          <w:lang w:val="en-US"/>
        </w:rPr>
        <w:t>Quality of life</w:t>
      </w:r>
    </w:p>
    <w:p w:rsidR="006F0DF0" w:rsidRDefault="006F0DF0" w:rsidP="00FC3AF7">
      <w:pPr>
        <w:pStyle w:val="Sinespaciado"/>
        <w:ind w:firstLine="284"/>
        <w:rPr>
          <w:rFonts w:ascii="Times New Roman" w:hAnsi="Times New Roman" w:cs="Times New Roman"/>
          <w:lang w:val="en-US"/>
        </w:rPr>
      </w:pPr>
      <w:r w:rsidRPr="006F0DF0">
        <w:rPr>
          <w:rFonts w:ascii="Times New Roman" w:hAnsi="Times New Roman" w:cs="Times New Roman"/>
          <w:lang w:val="en-US"/>
        </w:rPr>
        <w:t>Multidimensional concept and includes aspects of well-being and social and cultural policies of type material and non-material, objective and subjective, individual and collective.</w:t>
      </w:r>
    </w:p>
    <w:p w:rsidR="00FC3AF7" w:rsidRDefault="00FC3AF7" w:rsidP="00FC3AF7">
      <w:pPr>
        <w:pStyle w:val="Sinespaciado"/>
        <w:ind w:firstLine="284"/>
        <w:rPr>
          <w:rFonts w:ascii="Times New Roman" w:hAnsi="Times New Roman" w:cs="Times New Roman"/>
          <w:lang w:val="en-US"/>
        </w:rPr>
      </w:pPr>
    </w:p>
    <w:p w:rsidR="008F1033" w:rsidRDefault="008F1033" w:rsidP="00CE0A72">
      <w:pPr>
        <w:pStyle w:val="Sinespaciado"/>
        <w:numPr>
          <w:ilvl w:val="0"/>
          <w:numId w:val="4"/>
        </w:numPr>
        <w:rPr>
          <w:rFonts w:ascii="Times New Roman" w:hAnsi="Times New Roman" w:cs="Times New Roman"/>
          <w:b/>
          <w:sz w:val="28"/>
          <w:lang w:val="en-US"/>
        </w:rPr>
      </w:pPr>
      <w:r w:rsidRPr="00FC3AF7">
        <w:rPr>
          <w:rFonts w:ascii="Times New Roman" w:hAnsi="Times New Roman" w:cs="Times New Roman"/>
          <w:b/>
          <w:sz w:val="28"/>
          <w:lang w:val="en-US"/>
        </w:rPr>
        <w:t>Brief approximation to conflict armed</w:t>
      </w:r>
    </w:p>
    <w:p w:rsidR="006121F1" w:rsidRPr="006121F1" w:rsidRDefault="006121F1" w:rsidP="006121F1">
      <w:pPr>
        <w:pStyle w:val="Sinespaciado"/>
        <w:ind w:firstLine="284"/>
        <w:rPr>
          <w:rFonts w:ascii="Times New Roman" w:hAnsi="Times New Roman" w:cs="Times New Roman"/>
          <w:lang w:val="en-US"/>
        </w:rPr>
      </w:pPr>
      <w:r w:rsidRPr="006121F1">
        <w:rPr>
          <w:rFonts w:ascii="Times New Roman" w:hAnsi="Times New Roman" w:cs="Times New Roman"/>
          <w:lang w:val="en-US"/>
        </w:rPr>
        <w:t>In Colombia the internal armed conflict has been the result of a social, political and economic conflict dating back to long before the formation of guerrilla groups. In this sense, literature points inter alia that even today the underlying issues that have led to conflict persist today (Robinson, 2015) and more precisely James Robinson (2015) says: "My contention is that conflict [in Colombia] is an inevitable result of a situation in which there is no state" (p.64). In other words, the causes of the armed conflict in Colombia's particular (but not unique) case are that its extractive "political and economic" institutions are the rule and the exception the inclusives (see Acemoglu and Robinson, 2012).</w:t>
      </w:r>
    </w:p>
    <w:p w:rsidR="00455F8F" w:rsidRPr="006121F1" w:rsidRDefault="006121F1" w:rsidP="006121F1">
      <w:pPr>
        <w:pStyle w:val="Sinespaciado"/>
        <w:ind w:firstLine="284"/>
        <w:rPr>
          <w:rFonts w:ascii="Times New Roman" w:hAnsi="Times New Roman" w:cs="Times New Roman"/>
          <w:lang w:val="en-US"/>
        </w:rPr>
      </w:pPr>
      <w:r w:rsidRPr="006121F1">
        <w:rPr>
          <w:rFonts w:ascii="Times New Roman" w:hAnsi="Times New Roman" w:cs="Times New Roman"/>
          <w:lang w:val="en-US"/>
        </w:rPr>
        <w:t xml:space="preserve">Colombia to date reports - according to Unit for Attention and Integral Reparation to Victims (UARIV) - 8,425,398 victims of armed conflict and 7,176,886 in situations of forced displacement. Displacement that has occurred through direct and indirect attacks on the civilian population (Ibáñez and Velásquez, 2008). As results in threats (346,676), "disappearances" (166,424), selective assassinations, massacres, etc., and high intensity of conflict between the different armed groups, respectively. </w:t>
      </w:r>
    </w:p>
    <w:p w:rsidR="006121F1" w:rsidRPr="006121F1" w:rsidRDefault="006121F1" w:rsidP="006121F1">
      <w:pPr>
        <w:pStyle w:val="Sinespaciado"/>
        <w:ind w:firstLine="284"/>
        <w:rPr>
          <w:rFonts w:ascii="Times New Roman" w:hAnsi="Times New Roman" w:cs="Times New Roman"/>
          <w:lang w:val="en-US"/>
        </w:rPr>
      </w:pPr>
      <w:r w:rsidRPr="006121F1">
        <w:rPr>
          <w:rFonts w:ascii="Times New Roman" w:hAnsi="Times New Roman" w:cs="Times New Roman"/>
          <w:lang w:val="en-US"/>
        </w:rPr>
        <w:t>On the other hand, it should be noted that:</w:t>
      </w:r>
    </w:p>
    <w:p w:rsidR="006121F1" w:rsidRPr="006121F1" w:rsidRDefault="006121F1" w:rsidP="006121F1">
      <w:pPr>
        <w:pStyle w:val="Sinespaciado"/>
        <w:ind w:firstLine="284"/>
        <w:rPr>
          <w:rFonts w:ascii="Times New Roman" w:hAnsi="Times New Roman" w:cs="Times New Roman"/>
          <w:lang w:val="en-US"/>
        </w:rPr>
      </w:pPr>
      <w:r w:rsidRPr="006121F1">
        <w:rPr>
          <w:rFonts w:ascii="Times New Roman" w:hAnsi="Times New Roman" w:cs="Times New Roman"/>
          <w:lang w:val="en-US"/>
        </w:rPr>
        <w:t xml:space="preserve">(1) The period 2000-2002 showed the highest rates of victims and displaced persons expelled, with Antioquia being the department with the highest number </w:t>
      </w:r>
      <w:r w:rsidRPr="006121F1">
        <w:rPr>
          <w:rFonts w:ascii="Times New Roman" w:hAnsi="Times New Roman" w:cs="Times New Roman"/>
          <w:lang w:val="en-US"/>
        </w:rPr>
        <w:lastRenderedPageBreak/>
        <w:t>of victims to date (1,625,161). Nevertheless, departments like Choco register a total of 411,933 victims: which is in excesses alarming if the population size is taken into account.</w:t>
      </w:r>
    </w:p>
    <w:p w:rsidR="001D0791" w:rsidRDefault="006121F1" w:rsidP="001D0791">
      <w:pPr>
        <w:pStyle w:val="Sinespaciado"/>
        <w:ind w:firstLine="284"/>
        <w:rPr>
          <w:rFonts w:ascii="Times New Roman" w:hAnsi="Times New Roman" w:cs="Times New Roman"/>
          <w:lang w:val="en-US"/>
        </w:rPr>
      </w:pPr>
      <w:r w:rsidRPr="006121F1">
        <w:rPr>
          <w:rFonts w:ascii="Times New Roman" w:hAnsi="Times New Roman" w:cs="Times New Roman"/>
          <w:lang w:val="en-US"/>
        </w:rPr>
        <w:t>(2) Among the responsibilities that the Constitutional Court establishes as obligations for the Colombian State, are (a) to guarantee in any circumstance certain minimum rights to the displaced population; (b) respect for the essential core of the fundamental constitutional rights of the displaced, implying that "in no case can the authorities act in such a way as to end up ignoring, damaging or threatening the essential core of the fundamental constitutional rights of the displaced" (Constitutional Court, Judgment T-025, p.97) Finally, in the pronouncements of the Constitutional Court, the differential approach has always been present.</w:t>
      </w:r>
    </w:p>
    <w:p w:rsidR="00A34D79" w:rsidRDefault="00A34D79" w:rsidP="001D0791">
      <w:pPr>
        <w:pStyle w:val="Sinespaciado"/>
        <w:ind w:firstLine="284"/>
        <w:rPr>
          <w:rFonts w:ascii="Times New Roman" w:hAnsi="Times New Roman" w:cs="Times New Roman"/>
          <w:lang w:val="en-US"/>
        </w:rPr>
      </w:pPr>
    </w:p>
    <w:p w:rsidR="001D0791" w:rsidRPr="001D0791" w:rsidRDefault="001D0791" w:rsidP="001D0791">
      <w:pPr>
        <w:pStyle w:val="Sinespaciado"/>
        <w:numPr>
          <w:ilvl w:val="0"/>
          <w:numId w:val="4"/>
        </w:numPr>
        <w:rPr>
          <w:rFonts w:ascii="Times New Roman" w:hAnsi="Times New Roman" w:cs="Times New Roman"/>
          <w:b/>
          <w:sz w:val="28"/>
        </w:rPr>
      </w:pPr>
      <w:r w:rsidRPr="001D0791">
        <w:rPr>
          <w:rFonts w:ascii="Times New Roman" w:hAnsi="Times New Roman" w:cs="Times New Roman"/>
          <w:b/>
          <w:sz w:val="28"/>
        </w:rPr>
        <w:t>Differential Approach</w:t>
      </w:r>
      <w:r w:rsidR="00FB1B68">
        <w:rPr>
          <w:rFonts w:ascii="Times New Roman" w:hAnsi="Times New Roman" w:cs="Times New Roman"/>
          <w:b/>
          <w:sz w:val="28"/>
        </w:rPr>
        <w:t xml:space="preserve"> </w:t>
      </w:r>
    </w:p>
    <w:p w:rsidR="006121F1" w:rsidRPr="001D0791" w:rsidRDefault="006121F1" w:rsidP="001D0791">
      <w:pPr>
        <w:pStyle w:val="Sinespaciado"/>
        <w:rPr>
          <w:rFonts w:ascii="Times New Roman" w:hAnsi="Times New Roman" w:cs="Times New Roman"/>
          <w:lang w:val="en-US"/>
        </w:rPr>
      </w:pPr>
      <w:r w:rsidRPr="001D0791">
        <w:rPr>
          <w:rFonts w:ascii="Times New Roman" w:hAnsi="Times New Roman" w:cs="Times New Roman"/>
          <w:lang w:val="en-US"/>
        </w:rPr>
        <w:t xml:space="preserve">Speaking of a differential approach anywhere in the world and specifically in Colombia </w:t>
      </w:r>
      <w:r w:rsidR="00FB1B68">
        <w:rPr>
          <w:rFonts w:ascii="Times New Roman" w:hAnsi="Times New Roman" w:cs="Times New Roman"/>
          <w:lang w:val="en-US"/>
        </w:rPr>
        <w:t xml:space="preserve">(see Note 4 at the end) </w:t>
      </w:r>
      <w:r w:rsidRPr="001D0791">
        <w:rPr>
          <w:rFonts w:ascii="Times New Roman" w:hAnsi="Times New Roman" w:cs="Times New Roman"/>
          <w:lang w:val="en-US"/>
        </w:rPr>
        <w:t>deserves our attention and approximation, given the importance that our plurality of cultures, ethnicities and races that come precisely from that diversity of regions, idiosyncrasies, traditions and customs.</w:t>
      </w:r>
    </w:p>
    <w:p w:rsidR="00CA78DA" w:rsidRDefault="006121F1" w:rsidP="006121F1">
      <w:pPr>
        <w:pStyle w:val="Sinespaciado"/>
        <w:ind w:firstLine="284"/>
        <w:rPr>
          <w:rFonts w:ascii="Times New Roman" w:hAnsi="Times New Roman" w:cs="Times New Roman"/>
          <w:lang w:val="en-US"/>
        </w:rPr>
      </w:pPr>
      <w:r w:rsidRPr="006121F1">
        <w:rPr>
          <w:rFonts w:ascii="Times New Roman" w:hAnsi="Times New Roman" w:cs="Times New Roman"/>
          <w:lang w:val="en-US"/>
        </w:rPr>
        <w:t>For this, it is important to make an approach to its conceptualization. According to the Office of the United Nations High Commissioner for Human Rights, the differential approach has a double meaning: on the one hand it is a method of analysis and also a guide for action. In the first case, it uses a reading of reality that pretends to make visible: the forms of discrimination against those groups considered different by a hegemonic group. In the second case, it takes into account this analysis to provide adequate attention and protection to the rights of the population.Therefore, the differential approach is fundamental and relevant in the country, insofar as it must become a tool that is articulated in both the public and private spheres, to ensure the well-being and enjoyment of the rights of citizens that is one of its purposes.</w:t>
      </w:r>
    </w:p>
    <w:p w:rsidR="00775637" w:rsidRPr="006121F1" w:rsidRDefault="00775637" w:rsidP="006121F1">
      <w:pPr>
        <w:pStyle w:val="Sinespaciado"/>
        <w:ind w:firstLine="284"/>
        <w:rPr>
          <w:rFonts w:ascii="Times New Roman" w:hAnsi="Times New Roman" w:cs="Times New Roman"/>
          <w:lang w:val="en-US"/>
        </w:rPr>
      </w:pPr>
    </w:p>
    <w:p w:rsidR="006121F1" w:rsidRPr="00CA78DA" w:rsidRDefault="001D0791" w:rsidP="006121F1">
      <w:pPr>
        <w:pStyle w:val="Sinespaciado"/>
        <w:ind w:firstLine="284"/>
        <w:rPr>
          <w:rFonts w:ascii="Times New Roman" w:hAnsi="Times New Roman" w:cs="Times New Roman"/>
          <w:i/>
          <w:sz w:val="24"/>
          <w:lang w:val="en-US"/>
        </w:rPr>
      </w:pPr>
      <w:r w:rsidRPr="00CA78DA">
        <w:rPr>
          <w:rFonts w:ascii="Times New Roman" w:hAnsi="Times New Roman" w:cs="Times New Roman"/>
          <w:i/>
          <w:sz w:val="24"/>
          <w:lang w:val="en-US"/>
        </w:rPr>
        <w:t xml:space="preserve">5.1 </w:t>
      </w:r>
      <w:r w:rsidR="006121F1" w:rsidRPr="00CA78DA">
        <w:rPr>
          <w:rFonts w:ascii="Times New Roman" w:hAnsi="Times New Roman" w:cs="Times New Roman"/>
          <w:i/>
          <w:sz w:val="24"/>
          <w:lang w:val="en-US"/>
        </w:rPr>
        <w:t>Gender Differential Approach</w:t>
      </w:r>
    </w:p>
    <w:p w:rsidR="006121F1" w:rsidRPr="006121F1" w:rsidRDefault="006121F1" w:rsidP="006121F1">
      <w:pPr>
        <w:pStyle w:val="Sinespaciado"/>
        <w:ind w:firstLine="284"/>
        <w:rPr>
          <w:rFonts w:ascii="Times New Roman" w:hAnsi="Times New Roman" w:cs="Times New Roman"/>
          <w:lang w:val="en-US"/>
        </w:rPr>
      </w:pPr>
      <w:r w:rsidRPr="006121F1">
        <w:rPr>
          <w:rFonts w:ascii="Times New Roman" w:hAnsi="Times New Roman" w:cs="Times New Roman"/>
          <w:lang w:val="en-US"/>
        </w:rPr>
        <w:t xml:space="preserve">The gender differential approach refers to the analysis of social relations that starts with the recognition of the specific needs of women and aims to allow real and effective equality between men and women. It is recognized that the conflict exacerbates unequal power relations, finding that women are the main victims of sexual crimes, inequality and disproportionate impacts of armed conflict. Added to this, given that women have historically been discriminated against, violated and placed in an unequal power relation in relation to men, the implementation of measures of Attention, Assistance and Integral Reparation with a differential approach has the objective of avoiding limiting the enjoyment and exercise of their rights and freedoms. In this sense, differential attention seeks to reduce gender gaps by recognizing and facilitating the access and effective enjoyment of their rights, as well as identifying and addressing the specific affectations that derive from victimizing facts (sic) associated with gender and inequality of power. </w:t>
      </w:r>
    </w:p>
    <w:p w:rsidR="006121F1" w:rsidRDefault="006121F1" w:rsidP="00FC3AF7">
      <w:pPr>
        <w:pStyle w:val="Sinespaciado"/>
        <w:ind w:firstLine="284"/>
        <w:rPr>
          <w:rFonts w:ascii="Times New Roman" w:hAnsi="Times New Roman" w:cs="Times New Roman"/>
          <w:lang w:val="en-US"/>
        </w:rPr>
      </w:pPr>
      <w:r w:rsidRPr="006121F1">
        <w:rPr>
          <w:rFonts w:ascii="Times New Roman" w:hAnsi="Times New Roman" w:cs="Times New Roman"/>
          <w:lang w:val="en-US"/>
        </w:rPr>
        <w:t xml:space="preserve">In the specific case of Bucaramanga it should be noted that according to data from April 2017 of the Unit for Integral Care and Reparation for Victims: </w:t>
      </w:r>
      <w:r w:rsidRPr="006121F1">
        <w:rPr>
          <w:rFonts w:ascii="Times New Roman" w:hAnsi="Times New Roman" w:cs="Times New Roman"/>
          <w:lang w:val="en-US"/>
        </w:rPr>
        <w:lastRenderedPageBreak/>
        <w:t>73,184 people in displacement have arrived in the municipality, population mainly coming from municipalities the same department (including Girón, Floridablanca and Piedec</w:t>
      </w:r>
      <w:r>
        <w:rPr>
          <w:rFonts w:ascii="Times New Roman" w:hAnsi="Times New Roman" w:cs="Times New Roman"/>
          <w:lang w:val="en-US"/>
        </w:rPr>
        <w:t xml:space="preserve">uesta) </w:t>
      </w:r>
      <w:r w:rsidR="00491BEE" w:rsidRPr="00FC3AF7">
        <w:rPr>
          <w:rFonts w:ascii="Times New Roman" w:hAnsi="Times New Roman" w:cs="Times New Roman"/>
          <w:lang w:val="en-US"/>
        </w:rPr>
        <w:t>and the Cesar.</w:t>
      </w:r>
    </w:p>
    <w:p w:rsidR="00F17854" w:rsidRPr="00FC3AF7" w:rsidRDefault="00F17854" w:rsidP="00FC3AF7">
      <w:pPr>
        <w:pStyle w:val="Sinespaciado"/>
        <w:ind w:firstLine="284"/>
        <w:rPr>
          <w:rFonts w:ascii="Times New Roman" w:hAnsi="Times New Roman" w:cs="Times New Roman"/>
          <w:lang w:val="en-US"/>
        </w:rPr>
      </w:pPr>
      <w:r w:rsidRPr="00FC3AF7">
        <w:rPr>
          <w:rFonts w:ascii="Times New Roman" w:hAnsi="Times New Roman" w:cs="Times New Roman"/>
          <w:lang w:val="en-US"/>
        </w:rPr>
        <w:t>Of the total displaced population that has arrived in Bucaramanga, 48.75% are women. In 2001, the largest number of displaced women received, ie a total of 4,387 cases s</w:t>
      </w:r>
      <w:r w:rsidR="00AC7145" w:rsidRPr="00FC3AF7">
        <w:rPr>
          <w:rFonts w:ascii="Times New Roman" w:hAnsi="Times New Roman" w:cs="Times New Roman"/>
          <w:lang w:val="en-US"/>
        </w:rPr>
        <w:t>ubdivided as described in table</w:t>
      </w:r>
      <w:r w:rsidR="00455F8F">
        <w:rPr>
          <w:rFonts w:ascii="Times New Roman" w:hAnsi="Times New Roman" w:cs="Times New Roman"/>
          <w:lang w:val="en-US"/>
        </w:rPr>
        <w:t xml:space="preserve"> 1.</w:t>
      </w:r>
    </w:p>
    <w:p w:rsidR="00EF3CA3" w:rsidRDefault="00EF3CA3" w:rsidP="00EF3CA3">
      <w:pPr>
        <w:spacing w:line="480" w:lineRule="auto"/>
        <w:jc w:val="center"/>
        <w:rPr>
          <w:rFonts w:ascii="Times New Roman" w:hAnsi="Times New Roman" w:cs="Times New Roman"/>
          <w:b/>
          <w:bCs/>
          <w:iCs/>
          <w:lang w:val="en-US"/>
        </w:rPr>
      </w:pPr>
    </w:p>
    <w:p w:rsidR="00EF3CA3" w:rsidRPr="00DF4ECD" w:rsidRDefault="00EF3CA3" w:rsidP="00EF3CA3">
      <w:pPr>
        <w:pStyle w:val="Sinespaciado"/>
        <w:rPr>
          <w:rFonts w:ascii="Times New Roman" w:hAnsi="Times New Roman" w:cs="Times New Roman"/>
          <w:sz w:val="20"/>
          <w:szCs w:val="20"/>
          <w:lang w:val="en-US"/>
        </w:rPr>
      </w:pPr>
      <w:r w:rsidRPr="00DF4ECD">
        <w:rPr>
          <w:rFonts w:ascii="Times New Roman" w:hAnsi="Times New Roman" w:cs="Times New Roman"/>
          <w:b/>
          <w:sz w:val="20"/>
          <w:szCs w:val="20"/>
          <w:lang w:val="en-US"/>
        </w:rPr>
        <w:t xml:space="preserve">Table 1. </w:t>
      </w:r>
      <w:r w:rsidRPr="00DF4ECD">
        <w:rPr>
          <w:rFonts w:ascii="Times New Roman" w:hAnsi="Times New Roman" w:cs="Times New Roman"/>
          <w:sz w:val="20"/>
          <w:szCs w:val="20"/>
          <w:lang w:val="en-US"/>
        </w:rPr>
        <w:t>Displacement women for Bucaramanga (Ethnicity / Life Cycle)</w:t>
      </w:r>
    </w:p>
    <w:tbl>
      <w:tblPr>
        <w:tblW w:w="10015" w:type="dxa"/>
        <w:tblInd w:w="-497" w:type="dxa"/>
        <w:tblLayout w:type="fixed"/>
        <w:tblCellMar>
          <w:left w:w="70" w:type="dxa"/>
          <w:right w:w="70" w:type="dxa"/>
        </w:tblCellMar>
        <w:tblLook w:val="04A0" w:firstRow="1" w:lastRow="0" w:firstColumn="1" w:lastColumn="0" w:noHBand="0" w:noVBand="1"/>
      </w:tblPr>
      <w:tblGrid>
        <w:gridCol w:w="387"/>
        <w:gridCol w:w="1334"/>
        <w:gridCol w:w="611"/>
        <w:gridCol w:w="787"/>
        <w:gridCol w:w="850"/>
        <w:gridCol w:w="851"/>
        <w:gridCol w:w="992"/>
        <w:gridCol w:w="4203"/>
      </w:tblGrid>
      <w:tr w:rsidR="003072E5" w:rsidRPr="00DF4ECD" w:rsidTr="003072E5">
        <w:trPr>
          <w:gridBefore w:val="1"/>
          <w:gridAfter w:val="1"/>
          <w:wBefore w:w="387" w:type="dxa"/>
          <w:wAfter w:w="4203" w:type="dxa"/>
          <w:trHeight w:val="241"/>
        </w:trPr>
        <w:tc>
          <w:tcPr>
            <w:tcW w:w="1334" w:type="dxa"/>
            <w:tcBorders>
              <w:top w:val="single" w:sz="8" w:space="0" w:color="7F7F7F"/>
              <w:left w:val="nil"/>
              <w:bottom w:val="nil"/>
              <w:right w:val="nil"/>
            </w:tcBorders>
            <w:shd w:val="clear" w:color="auto" w:fill="auto"/>
            <w:noWrap/>
            <w:vAlign w:val="center"/>
            <w:hideMark/>
          </w:tcPr>
          <w:p w:rsidR="003072E5" w:rsidRPr="00C27D56" w:rsidRDefault="003072E5" w:rsidP="00EF3CA3">
            <w:pPr>
              <w:spacing w:after="0" w:line="240" w:lineRule="auto"/>
              <w:rPr>
                <w:rFonts w:ascii="Times New Roman" w:eastAsia="Times New Roman" w:hAnsi="Times New Roman" w:cs="Times New Roman"/>
                <w:b/>
                <w:bCs/>
                <w:color w:val="000000"/>
                <w:sz w:val="20"/>
                <w:szCs w:val="20"/>
                <w:lang w:val="en-US" w:eastAsia="es-CO"/>
              </w:rPr>
            </w:pPr>
            <w:r w:rsidRPr="00EF3CA3">
              <w:rPr>
                <w:rFonts w:ascii="Times New Roman" w:eastAsia="Times New Roman" w:hAnsi="Times New Roman" w:cs="Times New Roman"/>
                <w:b/>
                <w:bCs/>
                <w:color w:val="000000"/>
                <w:sz w:val="20"/>
                <w:szCs w:val="20"/>
                <w:lang w:val="en-US" w:eastAsia="es-CO"/>
              </w:rPr>
              <w:t> </w:t>
            </w:r>
          </w:p>
        </w:tc>
        <w:tc>
          <w:tcPr>
            <w:tcW w:w="4091" w:type="dxa"/>
            <w:gridSpan w:val="5"/>
            <w:tcBorders>
              <w:top w:val="single" w:sz="8" w:space="0" w:color="7F7F7F"/>
              <w:left w:val="nil"/>
              <w:bottom w:val="nil"/>
              <w:right w:val="nil"/>
            </w:tcBorders>
            <w:shd w:val="clear" w:color="auto" w:fill="auto"/>
            <w:vAlign w:val="center"/>
            <w:hideMark/>
          </w:tcPr>
          <w:p w:rsidR="003072E5" w:rsidRPr="00EF3CA3" w:rsidRDefault="003072E5" w:rsidP="00EF3CA3">
            <w:pPr>
              <w:spacing w:after="0" w:line="240" w:lineRule="auto"/>
              <w:rPr>
                <w:rFonts w:ascii="Times New Roman" w:eastAsia="Times New Roman" w:hAnsi="Times New Roman" w:cs="Times New Roman"/>
                <w:b/>
                <w:bCs/>
                <w:color w:val="000000"/>
                <w:sz w:val="20"/>
                <w:szCs w:val="20"/>
                <w:lang w:eastAsia="es-CO"/>
              </w:rPr>
            </w:pPr>
            <w:r w:rsidRPr="00EF3CA3">
              <w:rPr>
                <w:rFonts w:ascii="Times New Roman" w:eastAsia="Times New Roman" w:hAnsi="Times New Roman" w:cs="Times New Roman"/>
                <w:b/>
                <w:bCs/>
                <w:color w:val="000000"/>
                <w:sz w:val="20"/>
                <w:szCs w:val="20"/>
                <w:lang w:eastAsia="es-CO"/>
              </w:rPr>
              <w:t>Life cycle</w:t>
            </w:r>
          </w:p>
        </w:tc>
      </w:tr>
      <w:tr w:rsidR="003072E5" w:rsidRPr="00DF4ECD" w:rsidTr="003072E5">
        <w:trPr>
          <w:gridAfter w:val="1"/>
          <w:wAfter w:w="4203" w:type="dxa"/>
          <w:trHeight w:val="241"/>
        </w:trPr>
        <w:tc>
          <w:tcPr>
            <w:tcW w:w="17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b/>
                <w:bCs/>
                <w:color w:val="000000"/>
                <w:sz w:val="20"/>
                <w:szCs w:val="20"/>
                <w:lang w:eastAsia="es-CO"/>
              </w:rPr>
            </w:pPr>
            <w:r w:rsidRPr="00EF3CA3">
              <w:rPr>
                <w:rFonts w:ascii="Times New Roman" w:eastAsia="Times New Roman" w:hAnsi="Times New Roman" w:cs="Times New Roman"/>
                <w:b/>
                <w:bCs/>
                <w:color w:val="000000"/>
                <w:sz w:val="20"/>
                <w:szCs w:val="20"/>
                <w:lang w:eastAsia="es-CO"/>
              </w:rPr>
              <w:t>Ethnic Membership</w:t>
            </w:r>
          </w:p>
        </w:tc>
        <w:tc>
          <w:tcPr>
            <w:tcW w:w="611" w:type="dxa"/>
            <w:tcBorders>
              <w:top w:val="single" w:sz="4" w:space="0" w:color="000000"/>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0 - 5</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DF4ECD">
              <w:rPr>
                <w:rFonts w:ascii="Times New Roman" w:eastAsia="Times New Roman" w:hAnsi="Times New Roman" w:cs="Times New Roman"/>
                <w:color w:val="000000"/>
                <w:sz w:val="20"/>
                <w:szCs w:val="20"/>
                <w:lang w:eastAsia="es-CO"/>
              </w:rPr>
              <w:t xml:space="preserve">12 - </w:t>
            </w:r>
            <w:r w:rsidRPr="00EF3CA3">
              <w:rPr>
                <w:rFonts w:ascii="Times New Roman" w:eastAsia="Times New Roman" w:hAnsi="Times New Roman" w:cs="Times New Roman"/>
                <w:color w:val="000000"/>
                <w:sz w:val="20"/>
                <w:szCs w:val="20"/>
                <w:lang w:eastAsia="es-CO"/>
              </w:rPr>
              <w:t>17</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18</w:t>
            </w:r>
            <w:r w:rsidRPr="00DF4ECD">
              <w:rPr>
                <w:rFonts w:ascii="Times New Roman" w:eastAsia="Times New Roman" w:hAnsi="Times New Roman" w:cs="Times New Roman"/>
                <w:color w:val="000000"/>
                <w:sz w:val="20"/>
                <w:szCs w:val="20"/>
                <w:lang w:eastAsia="es-CO"/>
              </w:rPr>
              <w:t xml:space="preserve"> </w:t>
            </w:r>
            <w:r w:rsidRPr="00EF3CA3">
              <w:rPr>
                <w:rFonts w:ascii="Times New Roman" w:eastAsia="Times New Roman" w:hAnsi="Times New Roman" w:cs="Times New Roman"/>
                <w:color w:val="000000"/>
                <w:sz w:val="20"/>
                <w:szCs w:val="20"/>
                <w:lang w:eastAsia="es-CO"/>
              </w:rPr>
              <w:t>-</w:t>
            </w:r>
            <w:r w:rsidRPr="00DF4ECD">
              <w:rPr>
                <w:rFonts w:ascii="Times New Roman" w:eastAsia="Times New Roman" w:hAnsi="Times New Roman" w:cs="Times New Roman"/>
                <w:color w:val="000000"/>
                <w:sz w:val="20"/>
                <w:szCs w:val="20"/>
                <w:lang w:eastAsia="es-CO"/>
              </w:rPr>
              <w:t xml:space="preserve"> </w:t>
            </w:r>
            <w:r w:rsidRPr="00EF3CA3">
              <w:rPr>
                <w:rFonts w:ascii="Times New Roman" w:eastAsia="Times New Roman" w:hAnsi="Times New Roman" w:cs="Times New Roman"/>
                <w:color w:val="000000"/>
                <w:sz w:val="20"/>
                <w:szCs w:val="20"/>
                <w:lang w:eastAsia="es-CO"/>
              </w:rPr>
              <w:t>28</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29 - 60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61 - 100</w:t>
            </w:r>
          </w:p>
        </w:tc>
      </w:tr>
      <w:tr w:rsidR="003072E5" w:rsidRPr="00DF4ECD" w:rsidTr="003072E5">
        <w:trPr>
          <w:gridAfter w:val="1"/>
          <w:wAfter w:w="4203" w:type="dxa"/>
          <w:trHeight w:val="241"/>
        </w:trPr>
        <w:tc>
          <w:tcPr>
            <w:tcW w:w="172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b/>
                <w:bCs/>
                <w:color w:val="000000"/>
                <w:sz w:val="20"/>
                <w:szCs w:val="20"/>
                <w:lang w:eastAsia="es-CO"/>
              </w:rPr>
            </w:pPr>
            <w:r w:rsidRPr="00EF3CA3">
              <w:rPr>
                <w:rFonts w:ascii="Times New Roman" w:eastAsia="Times New Roman" w:hAnsi="Times New Roman" w:cs="Times New Roman"/>
                <w:b/>
                <w:bCs/>
                <w:color w:val="000000"/>
                <w:sz w:val="20"/>
                <w:szCs w:val="20"/>
                <w:lang w:eastAsia="es-CO"/>
              </w:rPr>
              <w:t>Afrocolombiana</w:t>
            </w:r>
          </w:p>
        </w:tc>
        <w:tc>
          <w:tcPr>
            <w:tcW w:w="611" w:type="dxa"/>
            <w:tcBorders>
              <w:top w:val="nil"/>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p>
        </w:tc>
        <w:tc>
          <w:tcPr>
            <w:tcW w:w="787" w:type="dxa"/>
            <w:tcBorders>
              <w:top w:val="nil"/>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11</w:t>
            </w:r>
          </w:p>
        </w:tc>
        <w:tc>
          <w:tcPr>
            <w:tcW w:w="850" w:type="dxa"/>
            <w:tcBorders>
              <w:top w:val="nil"/>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17</w:t>
            </w:r>
          </w:p>
        </w:tc>
        <w:tc>
          <w:tcPr>
            <w:tcW w:w="851" w:type="dxa"/>
            <w:tcBorders>
              <w:top w:val="nil"/>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18</w:t>
            </w:r>
          </w:p>
        </w:tc>
        <w:tc>
          <w:tcPr>
            <w:tcW w:w="992" w:type="dxa"/>
            <w:tcBorders>
              <w:top w:val="nil"/>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p>
        </w:tc>
      </w:tr>
      <w:tr w:rsidR="003072E5" w:rsidRPr="00DF4ECD" w:rsidTr="003072E5">
        <w:trPr>
          <w:gridAfter w:val="1"/>
          <w:wAfter w:w="4203" w:type="dxa"/>
          <w:trHeight w:val="241"/>
        </w:trPr>
        <w:tc>
          <w:tcPr>
            <w:tcW w:w="172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b/>
                <w:bCs/>
                <w:color w:val="000000"/>
                <w:sz w:val="20"/>
                <w:szCs w:val="20"/>
                <w:lang w:eastAsia="es-CO"/>
              </w:rPr>
            </w:pPr>
            <w:r w:rsidRPr="00EF3CA3">
              <w:rPr>
                <w:rFonts w:ascii="Times New Roman" w:eastAsia="Times New Roman" w:hAnsi="Times New Roman" w:cs="Times New Roman"/>
                <w:b/>
                <w:bCs/>
                <w:color w:val="000000"/>
                <w:sz w:val="20"/>
                <w:szCs w:val="20"/>
                <w:lang w:eastAsia="es-CO"/>
              </w:rPr>
              <w:t>Zero</w:t>
            </w:r>
          </w:p>
        </w:tc>
        <w:tc>
          <w:tcPr>
            <w:tcW w:w="611" w:type="dxa"/>
            <w:tcBorders>
              <w:top w:val="nil"/>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301</w:t>
            </w:r>
          </w:p>
        </w:tc>
        <w:tc>
          <w:tcPr>
            <w:tcW w:w="787" w:type="dxa"/>
            <w:tcBorders>
              <w:top w:val="nil"/>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580</w:t>
            </w:r>
          </w:p>
        </w:tc>
        <w:tc>
          <w:tcPr>
            <w:tcW w:w="850" w:type="dxa"/>
            <w:tcBorders>
              <w:top w:val="nil"/>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1235</w:t>
            </w:r>
          </w:p>
        </w:tc>
        <w:tc>
          <w:tcPr>
            <w:tcW w:w="851" w:type="dxa"/>
            <w:tcBorders>
              <w:top w:val="nil"/>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1858</w:t>
            </w:r>
          </w:p>
        </w:tc>
        <w:tc>
          <w:tcPr>
            <w:tcW w:w="992" w:type="dxa"/>
            <w:tcBorders>
              <w:top w:val="nil"/>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367</w:t>
            </w:r>
          </w:p>
        </w:tc>
      </w:tr>
      <w:tr w:rsidR="003072E5" w:rsidRPr="00DF4ECD" w:rsidTr="003072E5">
        <w:trPr>
          <w:trHeight w:val="254"/>
        </w:trPr>
        <w:tc>
          <w:tcPr>
            <w:tcW w:w="172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b/>
                <w:bCs/>
                <w:color w:val="000000"/>
                <w:sz w:val="20"/>
                <w:szCs w:val="20"/>
                <w:lang w:eastAsia="es-CO"/>
              </w:rPr>
            </w:pPr>
            <w:r w:rsidRPr="00EF3CA3">
              <w:rPr>
                <w:rFonts w:ascii="Times New Roman" w:eastAsia="Times New Roman" w:hAnsi="Times New Roman" w:cs="Times New Roman"/>
                <w:b/>
                <w:bCs/>
                <w:color w:val="000000"/>
                <w:sz w:val="20"/>
                <w:szCs w:val="20"/>
                <w:lang w:eastAsia="es-CO"/>
              </w:rPr>
              <w:t>Sub total</w:t>
            </w:r>
          </w:p>
        </w:tc>
        <w:tc>
          <w:tcPr>
            <w:tcW w:w="611" w:type="dxa"/>
            <w:tcBorders>
              <w:top w:val="nil"/>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301</w:t>
            </w:r>
          </w:p>
        </w:tc>
        <w:tc>
          <w:tcPr>
            <w:tcW w:w="787" w:type="dxa"/>
            <w:tcBorders>
              <w:top w:val="nil"/>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591</w:t>
            </w:r>
          </w:p>
        </w:tc>
        <w:tc>
          <w:tcPr>
            <w:tcW w:w="850" w:type="dxa"/>
            <w:tcBorders>
              <w:top w:val="nil"/>
              <w:left w:val="nil"/>
              <w:bottom w:val="single" w:sz="4" w:space="0" w:color="000000"/>
              <w:right w:val="single" w:sz="4" w:space="0" w:color="000000"/>
            </w:tcBorders>
            <w:shd w:val="clear" w:color="auto" w:fill="auto"/>
            <w:noWrap/>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1252</w:t>
            </w:r>
          </w:p>
        </w:tc>
        <w:tc>
          <w:tcPr>
            <w:tcW w:w="851" w:type="dxa"/>
            <w:tcBorders>
              <w:top w:val="nil"/>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1876</w:t>
            </w:r>
          </w:p>
        </w:tc>
        <w:tc>
          <w:tcPr>
            <w:tcW w:w="992" w:type="dxa"/>
            <w:tcBorders>
              <w:top w:val="nil"/>
              <w:left w:val="nil"/>
              <w:bottom w:val="single" w:sz="4" w:space="0" w:color="000000"/>
              <w:right w:val="single" w:sz="4" w:space="0" w:color="000000"/>
            </w:tcBorders>
            <w:shd w:val="clear" w:color="auto" w:fill="auto"/>
            <w:vAlign w:val="center"/>
            <w:hideMark/>
          </w:tcPr>
          <w:p w:rsidR="003072E5" w:rsidRPr="00EF3CA3" w:rsidRDefault="003072E5" w:rsidP="00EA414E">
            <w:pPr>
              <w:spacing w:after="0" w:line="240" w:lineRule="auto"/>
              <w:jc w:val="center"/>
              <w:rPr>
                <w:rFonts w:ascii="Times New Roman" w:eastAsia="Times New Roman" w:hAnsi="Times New Roman" w:cs="Times New Roman"/>
                <w:color w:val="000000"/>
                <w:sz w:val="20"/>
                <w:szCs w:val="20"/>
                <w:lang w:eastAsia="es-CO"/>
              </w:rPr>
            </w:pPr>
            <w:r w:rsidRPr="00EF3CA3">
              <w:rPr>
                <w:rFonts w:ascii="Times New Roman" w:eastAsia="Times New Roman" w:hAnsi="Times New Roman" w:cs="Times New Roman"/>
                <w:color w:val="000000"/>
                <w:sz w:val="20"/>
                <w:szCs w:val="20"/>
                <w:lang w:eastAsia="es-CO"/>
              </w:rPr>
              <w:t>367</w:t>
            </w:r>
          </w:p>
        </w:tc>
        <w:tc>
          <w:tcPr>
            <w:tcW w:w="4203" w:type="dxa"/>
            <w:tcBorders>
              <w:top w:val="nil"/>
              <w:left w:val="nil"/>
              <w:bottom w:val="single" w:sz="8" w:space="0" w:color="7F7F7F"/>
              <w:right w:val="nil"/>
            </w:tcBorders>
            <w:shd w:val="clear" w:color="auto" w:fill="auto"/>
            <w:vAlign w:val="center"/>
            <w:hideMark/>
          </w:tcPr>
          <w:p w:rsidR="003072E5" w:rsidRPr="00EF3CA3" w:rsidRDefault="003072E5" w:rsidP="00EF3CA3">
            <w:pPr>
              <w:spacing w:after="0" w:line="240" w:lineRule="auto"/>
              <w:rPr>
                <w:rFonts w:ascii="Times New Roman" w:eastAsia="Times New Roman" w:hAnsi="Times New Roman" w:cs="Times New Roman"/>
                <w:b/>
                <w:color w:val="000000"/>
                <w:sz w:val="20"/>
                <w:szCs w:val="20"/>
                <w:lang w:eastAsia="es-CO"/>
              </w:rPr>
            </w:pPr>
            <w:r w:rsidRPr="00EF3CA3">
              <w:rPr>
                <w:rFonts w:ascii="Times New Roman" w:eastAsia="Times New Roman" w:hAnsi="Times New Roman" w:cs="Times New Roman"/>
                <w:b/>
                <w:color w:val="000000"/>
                <w:sz w:val="20"/>
                <w:szCs w:val="20"/>
                <w:lang w:eastAsia="es-CO"/>
              </w:rPr>
              <w:t>Total: 4387</w:t>
            </w:r>
          </w:p>
        </w:tc>
      </w:tr>
    </w:tbl>
    <w:p w:rsidR="00EF3CA3" w:rsidRPr="00DF4ECD" w:rsidRDefault="003072E5" w:rsidP="00EF3CA3">
      <w:pPr>
        <w:pStyle w:val="Sinespaciado"/>
        <w:rPr>
          <w:rFonts w:ascii="Times New Roman" w:hAnsi="Times New Roman" w:cs="Times New Roman"/>
          <w:sz w:val="20"/>
          <w:szCs w:val="20"/>
          <w:lang w:val="en-US"/>
        </w:rPr>
      </w:pPr>
      <w:r w:rsidRPr="00DF4ECD">
        <w:rPr>
          <w:rFonts w:ascii="Times New Roman" w:hAnsi="Times New Roman" w:cs="Times New Roman"/>
          <w:b/>
          <w:bCs/>
          <w:iCs/>
          <w:sz w:val="20"/>
          <w:szCs w:val="20"/>
          <w:lang w:val="en-US"/>
        </w:rPr>
        <w:t>Source:</w:t>
      </w:r>
      <w:r w:rsidRPr="00DF4ECD">
        <w:rPr>
          <w:rFonts w:ascii="Times New Roman" w:hAnsi="Times New Roman" w:cs="Times New Roman"/>
          <w:bCs/>
          <w:iCs/>
          <w:sz w:val="20"/>
          <w:szCs w:val="20"/>
          <w:lang w:val="en-US"/>
        </w:rPr>
        <w:t xml:space="preserve"> Own elaboration based on UARIV data</w:t>
      </w:r>
    </w:p>
    <w:p w:rsidR="003072E5" w:rsidRDefault="003072E5" w:rsidP="00CA78DA">
      <w:pPr>
        <w:pStyle w:val="Sinespaciado"/>
        <w:rPr>
          <w:rFonts w:ascii="Times New Roman" w:hAnsi="Times New Roman" w:cs="Times New Roman"/>
          <w:i/>
          <w:sz w:val="24"/>
          <w:lang w:val="en-US"/>
        </w:rPr>
      </w:pPr>
    </w:p>
    <w:p w:rsidR="00F17854" w:rsidRPr="00CA78DA" w:rsidRDefault="00CA78DA" w:rsidP="00CA78DA">
      <w:pPr>
        <w:pStyle w:val="Sinespaciado"/>
        <w:rPr>
          <w:rFonts w:ascii="Times New Roman" w:hAnsi="Times New Roman" w:cs="Times New Roman"/>
          <w:i/>
          <w:lang w:val="en-US"/>
        </w:rPr>
      </w:pPr>
      <w:r w:rsidRPr="00CA78DA">
        <w:rPr>
          <w:rFonts w:ascii="Times New Roman" w:hAnsi="Times New Roman" w:cs="Times New Roman"/>
          <w:i/>
          <w:sz w:val="24"/>
          <w:lang w:val="en-US"/>
        </w:rPr>
        <w:t xml:space="preserve">5.2 </w:t>
      </w:r>
      <w:r w:rsidR="00F17854" w:rsidRPr="00CA78DA">
        <w:rPr>
          <w:rFonts w:ascii="Times New Roman" w:hAnsi="Times New Roman" w:cs="Times New Roman"/>
          <w:i/>
          <w:sz w:val="24"/>
          <w:lang w:val="en-US"/>
        </w:rPr>
        <w:t>Community LGBTI</w:t>
      </w:r>
      <w:r w:rsidR="00854084" w:rsidRPr="00CA78DA">
        <w:rPr>
          <w:rFonts w:ascii="Times New Roman" w:hAnsi="Times New Roman" w:cs="Times New Roman"/>
          <w:i/>
          <w:sz w:val="24"/>
          <w:lang w:val="en-US"/>
        </w:rPr>
        <w:t xml:space="preserve"> Differential Approach</w:t>
      </w:r>
    </w:p>
    <w:p w:rsidR="00CE0A72" w:rsidRPr="00CA78DA" w:rsidRDefault="00CE0A72" w:rsidP="00CA78DA">
      <w:pPr>
        <w:pStyle w:val="Sinespaciado"/>
        <w:ind w:firstLine="284"/>
        <w:rPr>
          <w:rFonts w:ascii="Times New Roman" w:hAnsi="Times New Roman" w:cs="Times New Roman"/>
          <w:lang w:val="en-US"/>
        </w:rPr>
      </w:pPr>
      <w:r w:rsidRPr="00CA78DA">
        <w:rPr>
          <w:rFonts w:ascii="Times New Roman" w:hAnsi="Times New Roman" w:cs="Times New Roman"/>
          <w:lang w:val="en-US"/>
        </w:rPr>
        <w:t>Victims of armed conflict with sexual orientation and diverse gender identities suffer discrimination, stigmatization, persecution and the invisibility of the impacts of the armed conflict on their individual and collective life projects. According to the above, this approach provides conceptual, socio-juridical and political tools applicable to public policy designs for the formulation, implementation, monitoring and evaluation of plans, programs and projects, aimed at the effective enjoyment of the rights of these subjects of protection.</w:t>
      </w:r>
    </w:p>
    <w:p w:rsidR="00CE0A72" w:rsidRPr="00CA78DA" w:rsidRDefault="00CE0A72" w:rsidP="00CA78DA">
      <w:pPr>
        <w:pStyle w:val="Sinespaciado"/>
        <w:ind w:firstLine="284"/>
        <w:rPr>
          <w:rFonts w:ascii="Times New Roman" w:hAnsi="Times New Roman" w:cs="Times New Roman"/>
          <w:lang w:val="en-US"/>
        </w:rPr>
      </w:pPr>
      <w:r w:rsidRPr="00CA78DA">
        <w:rPr>
          <w:rFonts w:ascii="Times New Roman" w:hAnsi="Times New Roman" w:cs="Times New Roman"/>
          <w:lang w:val="en-US"/>
        </w:rPr>
        <w:t>Also it has been observed that the violation of rights suffered by persons with sexual orientation non-hegemonic are organized into three main nodes that form the axes of analysis of the differential effects of LGBTI; these are:</w:t>
      </w:r>
    </w:p>
    <w:p w:rsidR="00CE0A72" w:rsidRPr="00CA78DA" w:rsidRDefault="00CE0A72" w:rsidP="00CA78DA">
      <w:pPr>
        <w:pStyle w:val="Sinespaciado"/>
        <w:ind w:firstLine="284"/>
        <w:rPr>
          <w:rFonts w:ascii="Times New Roman" w:hAnsi="Times New Roman" w:cs="Times New Roman"/>
          <w:lang w:val="en-US"/>
        </w:rPr>
      </w:pPr>
      <w:r w:rsidRPr="00CA78DA">
        <w:rPr>
          <w:rFonts w:ascii="Times New Roman" w:hAnsi="Times New Roman" w:cs="Times New Roman"/>
          <w:lang w:val="en-US"/>
        </w:rPr>
        <w:t>(1) Systemic discrimination in the environment, which refers to the pre-existence of discrimination.</w:t>
      </w:r>
    </w:p>
    <w:p w:rsidR="00CE0A72" w:rsidRPr="00CE0A72" w:rsidRDefault="00CE0A72" w:rsidP="00CE0A72">
      <w:pPr>
        <w:pStyle w:val="Sinespaciado"/>
        <w:ind w:firstLine="284"/>
        <w:rPr>
          <w:rFonts w:ascii="Times New Roman" w:hAnsi="Times New Roman" w:cs="Times New Roman"/>
          <w:lang w:val="en-US"/>
        </w:rPr>
      </w:pPr>
      <w:r w:rsidRPr="00CE0A72">
        <w:rPr>
          <w:rFonts w:ascii="Times New Roman" w:hAnsi="Times New Roman" w:cs="Times New Roman"/>
          <w:lang w:val="en-US"/>
        </w:rPr>
        <w:t>(2) Normatization and annihilation in the context of armed conflict, which refers to how the accumulated discrimination is added to the violence in the context of armed conflict, which are intended to subordinate, standardize, "correct", teach and exemplify.</w:t>
      </w:r>
    </w:p>
    <w:p w:rsidR="00CE0A72" w:rsidRPr="00CE0A72" w:rsidRDefault="00CE0A72" w:rsidP="00CE0A72">
      <w:pPr>
        <w:pStyle w:val="Sinespaciado"/>
        <w:ind w:firstLine="284"/>
        <w:rPr>
          <w:rFonts w:ascii="Times New Roman" w:hAnsi="Times New Roman" w:cs="Times New Roman"/>
          <w:lang w:val="en-US"/>
        </w:rPr>
      </w:pPr>
      <w:r w:rsidRPr="00CE0A72">
        <w:rPr>
          <w:rFonts w:ascii="Times New Roman" w:hAnsi="Times New Roman" w:cs="Times New Roman"/>
          <w:lang w:val="en-US"/>
        </w:rPr>
        <w:t>(3) Institutional violence refers to inaction, barriers or harmful action by public employees towards people with sexual orientation and non-hegemonic gender identities.</w:t>
      </w:r>
    </w:p>
    <w:p w:rsidR="00CE0A72" w:rsidRPr="00CE0A72" w:rsidRDefault="00CE0A72" w:rsidP="00CE0A72">
      <w:pPr>
        <w:pStyle w:val="Sinespaciado"/>
        <w:ind w:firstLine="284"/>
        <w:rPr>
          <w:rFonts w:ascii="Times New Roman" w:hAnsi="Times New Roman" w:cs="Times New Roman"/>
          <w:lang w:val="en-US"/>
        </w:rPr>
      </w:pPr>
      <w:r w:rsidRPr="00CE0A72">
        <w:rPr>
          <w:rFonts w:ascii="Times New Roman" w:hAnsi="Times New Roman" w:cs="Times New Roman"/>
          <w:lang w:val="en-US"/>
        </w:rPr>
        <w:t>Therefore, care, assistance and reparation measures must respond to the recognition of equal and non-discriminatory treatment and generate actions that allow the transformation of the discrimination and exclusion schemes derived from violence through prejudice.</w:t>
      </w:r>
    </w:p>
    <w:p w:rsidR="00CA78DA" w:rsidRDefault="00CE0A72" w:rsidP="00CE0A72">
      <w:pPr>
        <w:pStyle w:val="Sinespaciado"/>
        <w:ind w:firstLine="284"/>
        <w:rPr>
          <w:rFonts w:ascii="Times New Roman" w:hAnsi="Times New Roman" w:cs="Times New Roman"/>
          <w:lang w:val="en-US"/>
        </w:rPr>
      </w:pPr>
      <w:r w:rsidRPr="00CE0A72">
        <w:rPr>
          <w:rFonts w:ascii="Times New Roman" w:hAnsi="Times New Roman" w:cs="Times New Roman"/>
          <w:lang w:val="en-US"/>
        </w:rPr>
        <w:t>According to reports UARIV, in Bucaramanga 22 people have declared belonging to community LGBTI. However, there are 736 cases where people do not report on their gender. Consequently, it is plausible to suppose that these cases also correspond to reasons of discrimination among others.</w:t>
      </w:r>
    </w:p>
    <w:p w:rsidR="00FB1B68" w:rsidRDefault="00FB1B68" w:rsidP="00CE0A72">
      <w:pPr>
        <w:pStyle w:val="Sinespaciado"/>
        <w:ind w:firstLine="284"/>
        <w:rPr>
          <w:rFonts w:ascii="Times New Roman" w:hAnsi="Times New Roman" w:cs="Times New Roman"/>
          <w:lang w:val="en-US"/>
        </w:rPr>
      </w:pPr>
    </w:p>
    <w:p w:rsidR="005F7EC8" w:rsidRDefault="005F7EC8" w:rsidP="00CE0A72">
      <w:pPr>
        <w:pStyle w:val="Sinespaciado"/>
        <w:ind w:firstLine="284"/>
        <w:rPr>
          <w:rFonts w:ascii="Times New Roman" w:hAnsi="Times New Roman" w:cs="Times New Roman"/>
          <w:lang w:val="en-US"/>
        </w:rPr>
      </w:pPr>
    </w:p>
    <w:p w:rsidR="00DF4ECD" w:rsidRPr="00CE0A72" w:rsidRDefault="00DF4ECD" w:rsidP="00CE0A72">
      <w:pPr>
        <w:pStyle w:val="Sinespaciado"/>
        <w:ind w:firstLine="284"/>
        <w:rPr>
          <w:rFonts w:ascii="Times New Roman" w:hAnsi="Times New Roman" w:cs="Times New Roman"/>
          <w:lang w:val="en-US"/>
        </w:rPr>
      </w:pPr>
    </w:p>
    <w:p w:rsidR="008D1523" w:rsidRDefault="007B3246" w:rsidP="00CA78DA">
      <w:pPr>
        <w:pStyle w:val="Sinespaciado"/>
        <w:ind w:firstLine="284"/>
        <w:rPr>
          <w:rFonts w:ascii="Times New Roman" w:hAnsi="Times New Roman" w:cs="Times New Roman"/>
          <w:i/>
          <w:sz w:val="24"/>
          <w:lang w:val="en-US"/>
        </w:rPr>
      </w:pPr>
      <w:r>
        <w:rPr>
          <w:rFonts w:ascii="Times New Roman" w:hAnsi="Times New Roman" w:cs="Times New Roman"/>
          <w:i/>
          <w:sz w:val="24"/>
          <w:lang w:val="en-US"/>
        </w:rPr>
        <w:lastRenderedPageBreak/>
        <w:t xml:space="preserve">5.3 </w:t>
      </w:r>
      <w:r w:rsidR="008D1523" w:rsidRPr="007B3246">
        <w:rPr>
          <w:rFonts w:ascii="Times New Roman" w:hAnsi="Times New Roman" w:cs="Times New Roman"/>
          <w:i/>
          <w:sz w:val="24"/>
          <w:lang w:val="en-US"/>
        </w:rPr>
        <w:t>Ethnic communities</w:t>
      </w:r>
      <w:r w:rsidR="0061662F" w:rsidRPr="007B3246">
        <w:rPr>
          <w:rFonts w:ascii="Times New Roman" w:hAnsi="Times New Roman" w:cs="Times New Roman"/>
          <w:i/>
          <w:sz w:val="24"/>
          <w:lang w:val="en-US"/>
        </w:rPr>
        <w:t xml:space="preserve"> Differential Approach</w:t>
      </w:r>
    </w:p>
    <w:p w:rsidR="007B3246" w:rsidRPr="00264249" w:rsidRDefault="007B3246" w:rsidP="007B3246">
      <w:pPr>
        <w:pStyle w:val="Sinespaciado"/>
        <w:ind w:firstLine="284"/>
        <w:rPr>
          <w:rFonts w:ascii="Times New Roman" w:hAnsi="Times New Roman" w:cs="Times New Roman"/>
          <w:lang w:val="en-US"/>
        </w:rPr>
      </w:pPr>
      <w:r w:rsidRPr="00264249">
        <w:rPr>
          <w:rFonts w:ascii="Times New Roman" w:hAnsi="Times New Roman" w:cs="Times New Roman"/>
          <w:lang w:val="en-US"/>
        </w:rPr>
        <w:t>Indigenous people are those who recognize themselves as people who belong to a collective in which they can share a territory, beliefs and customs. Each village has its own territorial and spatial referents, they have organizational schemes with defined authorities and mechanisms of social control. In this sense, victims in considered are:</w:t>
      </w:r>
    </w:p>
    <w:p w:rsidR="007B3246" w:rsidRPr="00264249" w:rsidRDefault="007B3246" w:rsidP="007B3246">
      <w:pPr>
        <w:pStyle w:val="Sinespaciado"/>
        <w:ind w:firstLine="284"/>
        <w:rPr>
          <w:rFonts w:ascii="Times New Roman" w:hAnsi="Times New Roman" w:cs="Times New Roman"/>
          <w:lang w:val="en-US"/>
        </w:rPr>
      </w:pPr>
      <w:r w:rsidRPr="00264249">
        <w:rPr>
          <w:rFonts w:ascii="Times New Roman" w:hAnsi="Times New Roman" w:cs="Times New Roman"/>
          <w:lang w:val="en-US"/>
        </w:rPr>
        <w:t>Individual members of indigenous peoples and communities who have suffered damages as a result of violations of International Humanitarian Law, Human Rights, and fundamental and collective rights that relate to underlying factors and linked in the context of the armed conflict by events occurring from Of 1 January 1985.</w:t>
      </w:r>
    </w:p>
    <w:p w:rsidR="007B3246" w:rsidRPr="00264249" w:rsidRDefault="007B3246" w:rsidP="007B3246">
      <w:pPr>
        <w:pStyle w:val="Sinespaciado"/>
        <w:ind w:firstLine="284"/>
        <w:rPr>
          <w:rFonts w:ascii="Times New Roman" w:hAnsi="Times New Roman" w:cs="Times New Roman"/>
          <w:lang w:val="en-US"/>
        </w:rPr>
      </w:pPr>
      <w:r w:rsidRPr="00264249">
        <w:rPr>
          <w:rFonts w:ascii="Times New Roman" w:hAnsi="Times New Roman" w:cs="Times New Roman"/>
          <w:lang w:val="en-US"/>
        </w:rPr>
        <w:t>Based on the above, the recognition of historical injustices and effects on human, ancestral and territorial rights in the context of the armed conflict leads to the public policy provide, assistance and reparation to victims to restore the rights of indigenous peoples and communities as collective subjects, ie, in the context of the armed conflict these collective factors and individual identity were affected and in this sense care, assistance and reparation measures must respond to the reestablishment of these rights.</w:t>
      </w:r>
    </w:p>
    <w:p w:rsidR="00264249" w:rsidRDefault="007B3246" w:rsidP="007B3246">
      <w:pPr>
        <w:pStyle w:val="Sinespaciado"/>
        <w:ind w:firstLine="284"/>
        <w:rPr>
          <w:rFonts w:ascii="Times New Roman" w:hAnsi="Times New Roman" w:cs="Times New Roman"/>
          <w:lang w:val="en-US"/>
        </w:rPr>
      </w:pPr>
      <w:r w:rsidRPr="00264249">
        <w:rPr>
          <w:rFonts w:ascii="Times New Roman" w:hAnsi="Times New Roman" w:cs="Times New Roman"/>
          <w:lang w:val="en-US"/>
        </w:rPr>
        <w:t>Finally, the marginalization and segregation that black communities, Afro-Colombians, raizales and palenqueras have historically faced, together with the affectations to fundamental and collective rights, violations of International Humanitarian Law and human rights oblige the Colombian State to Attention assistance, repair and restitution of land: which translates into protect their culture, their physical existence and their ancestral and cultural rights and, guarantee your rights as victims.</w:t>
      </w:r>
    </w:p>
    <w:p w:rsidR="00775637" w:rsidRPr="00264249" w:rsidRDefault="00775637" w:rsidP="007B3246">
      <w:pPr>
        <w:pStyle w:val="Sinespaciado"/>
        <w:ind w:firstLine="284"/>
        <w:rPr>
          <w:rFonts w:ascii="Times New Roman" w:hAnsi="Times New Roman" w:cs="Times New Roman"/>
          <w:i/>
          <w:lang w:val="en-US"/>
        </w:rPr>
      </w:pPr>
    </w:p>
    <w:p w:rsidR="00F17854" w:rsidRPr="00264249" w:rsidRDefault="00264249" w:rsidP="00264249">
      <w:pPr>
        <w:pStyle w:val="Sinespaciado"/>
        <w:ind w:firstLine="284"/>
        <w:rPr>
          <w:rFonts w:ascii="Times New Roman" w:hAnsi="Times New Roman" w:cs="Times New Roman"/>
          <w:i/>
          <w:sz w:val="24"/>
          <w:szCs w:val="24"/>
          <w:lang w:val="en-US"/>
        </w:rPr>
      </w:pPr>
      <w:r w:rsidRPr="00264249">
        <w:rPr>
          <w:rFonts w:ascii="Times New Roman" w:hAnsi="Times New Roman" w:cs="Times New Roman"/>
          <w:i/>
          <w:sz w:val="24"/>
          <w:szCs w:val="24"/>
          <w:lang w:val="en-US"/>
        </w:rPr>
        <w:t xml:space="preserve">5.4 </w:t>
      </w:r>
      <w:r w:rsidR="00F17854" w:rsidRPr="00264249">
        <w:rPr>
          <w:rFonts w:ascii="Times New Roman" w:hAnsi="Times New Roman" w:cs="Times New Roman"/>
          <w:i/>
          <w:sz w:val="24"/>
          <w:szCs w:val="24"/>
          <w:lang w:val="en-US"/>
        </w:rPr>
        <w:t>Disability</w:t>
      </w:r>
      <w:r w:rsidR="0061662F" w:rsidRPr="00264249">
        <w:rPr>
          <w:rFonts w:ascii="Times New Roman" w:hAnsi="Times New Roman" w:cs="Times New Roman"/>
          <w:i/>
          <w:sz w:val="24"/>
          <w:szCs w:val="24"/>
          <w:lang w:val="en-US"/>
        </w:rPr>
        <w:t xml:space="preserve"> Differential Approach</w:t>
      </w:r>
    </w:p>
    <w:p w:rsidR="00264249" w:rsidRPr="00264249" w:rsidRDefault="00264249" w:rsidP="00264249">
      <w:pPr>
        <w:pStyle w:val="Sinespaciado"/>
        <w:ind w:firstLine="284"/>
        <w:rPr>
          <w:rFonts w:ascii="Times New Roman" w:hAnsi="Times New Roman" w:cs="Times New Roman"/>
          <w:lang w:val="en-US"/>
        </w:rPr>
      </w:pPr>
      <w:r w:rsidRPr="00264249">
        <w:rPr>
          <w:rFonts w:ascii="Times New Roman" w:hAnsi="Times New Roman" w:cs="Times New Roman"/>
          <w:lang w:val="en-US"/>
        </w:rPr>
        <w:t>People with disabilities face day to day barriers that impede the effective exercise of their rights. Barriers can be: attitudinal, communicative and physical.</w:t>
      </w:r>
    </w:p>
    <w:p w:rsidR="00264249" w:rsidRPr="00264249" w:rsidRDefault="00264249" w:rsidP="00264249">
      <w:pPr>
        <w:pStyle w:val="Sinespaciado"/>
        <w:ind w:firstLine="284"/>
        <w:rPr>
          <w:rFonts w:ascii="Times New Roman" w:hAnsi="Times New Roman" w:cs="Times New Roman"/>
          <w:lang w:val="en-US"/>
        </w:rPr>
      </w:pPr>
      <w:r w:rsidRPr="00264249">
        <w:rPr>
          <w:rFonts w:ascii="Times New Roman" w:hAnsi="Times New Roman" w:cs="Times New Roman"/>
          <w:lang w:val="en-US"/>
        </w:rPr>
        <w:t>In relation to the above, the differential approach for victims with disabilities is concretized in differentiated care, assistance and reparation measures for people with disabilities and must be recognized regardless of the type of disability (physical, sensory, mental, intellectual or Multiple), regardless of when disability was acquired or developed.</w:t>
      </w:r>
    </w:p>
    <w:p w:rsidR="00264249" w:rsidRPr="00264249" w:rsidRDefault="00264249" w:rsidP="00264249">
      <w:pPr>
        <w:pStyle w:val="Sinespaciado"/>
        <w:ind w:firstLine="284"/>
        <w:jc w:val="both"/>
        <w:rPr>
          <w:rFonts w:ascii="Times New Roman" w:hAnsi="Times New Roman" w:cs="Times New Roman"/>
          <w:lang w:val="en-US"/>
        </w:rPr>
      </w:pPr>
      <w:r w:rsidRPr="00264249">
        <w:rPr>
          <w:rFonts w:ascii="Times New Roman" w:hAnsi="Times New Roman" w:cs="Times New Roman"/>
          <w:lang w:val="en-US"/>
        </w:rPr>
        <w:t>Therefore, comprehensive care, assistance and reparation measures for persons with disabilities should, as far as possible: guarantee effective access to their rights, identify and respond to the specific needs of the person according to their disability; And promote the social and effective inclusion of the person recognizing him as a subject of rights, with interests, needs, a life project and not as a person who only requires medical treatment or rehabilitation of their functions.</w:t>
      </w:r>
    </w:p>
    <w:p w:rsidR="00033DC6" w:rsidRDefault="00264249" w:rsidP="00FB1B68">
      <w:pPr>
        <w:pStyle w:val="Sinespaciado"/>
        <w:ind w:firstLine="284"/>
        <w:jc w:val="both"/>
        <w:rPr>
          <w:rFonts w:ascii="Times New Roman" w:hAnsi="Times New Roman" w:cs="Times New Roman"/>
          <w:b/>
          <w:bCs/>
          <w:iCs/>
          <w:lang w:val="en-US"/>
        </w:rPr>
      </w:pPr>
      <w:r w:rsidRPr="00264249">
        <w:rPr>
          <w:rFonts w:ascii="Times New Roman" w:hAnsi="Times New Roman" w:cs="Times New Roman"/>
          <w:lang w:val="en-US"/>
        </w:rPr>
        <w:t>Finally, the total of the displaced population received in Bucaramanga and in disability situation amounts to 5,202 people, dis</w:t>
      </w:r>
      <w:r w:rsidR="00775637">
        <w:rPr>
          <w:rFonts w:ascii="Times New Roman" w:hAnsi="Times New Roman" w:cs="Times New Roman"/>
          <w:lang w:val="en-US"/>
        </w:rPr>
        <w:t>tributed as shown in the table 2</w:t>
      </w:r>
      <w:r w:rsidRPr="00264249">
        <w:rPr>
          <w:rFonts w:ascii="Times New Roman" w:hAnsi="Times New Roman" w:cs="Times New Roman"/>
          <w:lang w:val="en-US"/>
        </w:rPr>
        <w:t>.</w:t>
      </w:r>
    </w:p>
    <w:p w:rsidR="00FB1B68" w:rsidRDefault="00FB1B68" w:rsidP="00775637">
      <w:pPr>
        <w:spacing w:line="20" w:lineRule="atLeast"/>
        <w:jc w:val="center"/>
        <w:rPr>
          <w:rFonts w:ascii="Times New Roman" w:hAnsi="Times New Roman" w:cs="Times New Roman"/>
          <w:b/>
          <w:bCs/>
          <w:iCs/>
          <w:lang w:val="en-US"/>
        </w:rPr>
      </w:pPr>
    </w:p>
    <w:p w:rsidR="00DF4ECD" w:rsidRDefault="00DF4ECD" w:rsidP="00775637">
      <w:pPr>
        <w:spacing w:line="20" w:lineRule="atLeast"/>
        <w:jc w:val="center"/>
        <w:rPr>
          <w:rFonts w:ascii="Times New Roman" w:hAnsi="Times New Roman" w:cs="Times New Roman"/>
          <w:b/>
          <w:bCs/>
          <w:iCs/>
          <w:lang w:val="en-US"/>
        </w:rPr>
      </w:pPr>
    </w:p>
    <w:p w:rsidR="00DF4ECD" w:rsidRDefault="00DF4ECD" w:rsidP="00775637">
      <w:pPr>
        <w:spacing w:line="20" w:lineRule="atLeast"/>
        <w:jc w:val="center"/>
        <w:rPr>
          <w:rFonts w:ascii="Times New Roman" w:hAnsi="Times New Roman" w:cs="Times New Roman"/>
          <w:b/>
          <w:bCs/>
          <w:iCs/>
          <w:lang w:val="en-US"/>
        </w:rPr>
      </w:pPr>
    </w:p>
    <w:p w:rsidR="00DF4ECD" w:rsidRDefault="00DF4ECD" w:rsidP="00775637">
      <w:pPr>
        <w:spacing w:line="20" w:lineRule="atLeast"/>
        <w:jc w:val="center"/>
        <w:rPr>
          <w:rFonts w:ascii="Times New Roman" w:hAnsi="Times New Roman" w:cs="Times New Roman"/>
          <w:b/>
          <w:bCs/>
          <w:iCs/>
          <w:lang w:val="en-US"/>
        </w:rPr>
      </w:pPr>
    </w:p>
    <w:p w:rsidR="00033DC6" w:rsidRPr="005F7EC8" w:rsidRDefault="002B6698" w:rsidP="00775637">
      <w:pPr>
        <w:spacing w:line="20" w:lineRule="atLeast"/>
        <w:jc w:val="center"/>
        <w:rPr>
          <w:rFonts w:ascii="Times New Roman" w:hAnsi="Times New Roman" w:cs="Times New Roman"/>
          <w:bCs/>
          <w:iCs/>
          <w:sz w:val="20"/>
          <w:szCs w:val="20"/>
          <w:lang w:val="en-US"/>
        </w:rPr>
      </w:pPr>
      <w:r w:rsidRPr="005F7EC8">
        <w:rPr>
          <w:rFonts w:ascii="Times New Roman" w:hAnsi="Times New Roman" w:cs="Times New Roman"/>
          <w:b/>
          <w:bCs/>
          <w:iCs/>
          <w:sz w:val="20"/>
          <w:szCs w:val="20"/>
          <w:lang w:val="en-US"/>
        </w:rPr>
        <w:lastRenderedPageBreak/>
        <w:t>Table</w:t>
      </w:r>
      <w:r w:rsidR="00775637" w:rsidRPr="005F7EC8">
        <w:rPr>
          <w:rFonts w:ascii="Times New Roman" w:hAnsi="Times New Roman" w:cs="Times New Roman"/>
          <w:b/>
          <w:bCs/>
          <w:iCs/>
          <w:sz w:val="20"/>
          <w:szCs w:val="20"/>
          <w:lang w:val="en-US"/>
        </w:rPr>
        <w:t xml:space="preserve"> 2</w:t>
      </w:r>
      <w:r w:rsidR="00AC7145" w:rsidRPr="005F7EC8">
        <w:rPr>
          <w:rFonts w:ascii="Times New Roman" w:hAnsi="Times New Roman" w:cs="Times New Roman"/>
          <w:b/>
          <w:bCs/>
          <w:iCs/>
          <w:sz w:val="20"/>
          <w:szCs w:val="20"/>
          <w:lang w:val="en-US"/>
        </w:rPr>
        <w:t>.</w:t>
      </w:r>
      <w:r w:rsidR="00AC7145" w:rsidRPr="005F7EC8">
        <w:rPr>
          <w:rFonts w:ascii="Times New Roman" w:hAnsi="Times New Roman" w:cs="Times New Roman"/>
          <w:bCs/>
          <w:iCs/>
          <w:sz w:val="20"/>
          <w:szCs w:val="20"/>
          <w:lang w:val="en-US"/>
        </w:rPr>
        <w:t xml:space="preserve"> Displaced Bucaramanga by disability-gender-ethnicity.</w:t>
      </w:r>
    </w:p>
    <w:tbl>
      <w:tblPr>
        <w:tblW w:w="5912" w:type="dxa"/>
        <w:jc w:val="center"/>
        <w:tblCellMar>
          <w:left w:w="70" w:type="dxa"/>
          <w:right w:w="70" w:type="dxa"/>
        </w:tblCellMar>
        <w:tblLook w:val="04A0" w:firstRow="1" w:lastRow="0" w:firstColumn="1" w:lastColumn="0" w:noHBand="0" w:noVBand="1"/>
      </w:tblPr>
      <w:tblGrid>
        <w:gridCol w:w="3942"/>
        <w:gridCol w:w="1970"/>
      </w:tblGrid>
      <w:tr w:rsidR="00033DC6" w:rsidRPr="00033DC6" w:rsidTr="005F7EC8">
        <w:trPr>
          <w:trHeight w:val="315"/>
          <w:jc w:val="center"/>
        </w:trPr>
        <w:tc>
          <w:tcPr>
            <w:tcW w:w="39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color w:val="000000"/>
                <w:sz w:val="20"/>
                <w:szCs w:val="20"/>
                <w:lang w:eastAsia="es-CO"/>
              </w:rPr>
              <w:t>LGBTI</w:t>
            </w:r>
          </w:p>
        </w:tc>
        <w:tc>
          <w:tcPr>
            <w:tcW w:w="19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iCs/>
                <w:color w:val="000000"/>
                <w:sz w:val="20"/>
                <w:szCs w:val="20"/>
                <w:lang w:eastAsia="es-CO"/>
              </w:rPr>
              <w:t>5</w:t>
            </w:r>
          </w:p>
        </w:tc>
      </w:tr>
      <w:tr w:rsidR="00033DC6" w:rsidRPr="00033DC6" w:rsidTr="005F7EC8">
        <w:trPr>
          <w:trHeight w:val="315"/>
          <w:jc w:val="center"/>
        </w:trPr>
        <w:tc>
          <w:tcPr>
            <w:tcW w:w="39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color w:val="000000"/>
                <w:sz w:val="20"/>
                <w:szCs w:val="20"/>
                <w:lang w:eastAsia="es-CO"/>
              </w:rPr>
              <w:t>Man</w:t>
            </w:r>
          </w:p>
        </w:tc>
        <w:tc>
          <w:tcPr>
            <w:tcW w:w="19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iCs/>
                <w:color w:val="000000"/>
                <w:sz w:val="20"/>
                <w:szCs w:val="20"/>
                <w:lang w:eastAsia="es-CO"/>
              </w:rPr>
              <w:t>2.613</w:t>
            </w:r>
          </w:p>
        </w:tc>
      </w:tr>
      <w:tr w:rsidR="00033DC6" w:rsidRPr="00033DC6" w:rsidTr="005F7EC8">
        <w:trPr>
          <w:trHeight w:val="315"/>
          <w:jc w:val="center"/>
        </w:trPr>
        <w:tc>
          <w:tcPr>
            <w:tcW w:w="39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color w:val="000000"/>
                <w:sz w:val="20"/>
                <w:szCs w:val="20"/>
                <w:lang w:eastAsia="es-CO"/>
              </w:rPr>
              <w:t>Woman</w:t>
            </w:r>
          </w:p>
        </w:tc>
        <w:tc>
          <w:tcPr>
            <w:tcW w:w="19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iCs/>
                <w:color w:val="000000"/>
                <w:sz w:val="20"/>
                <w:szCs w:val="20"/>
                <w:lang w:eastAsia="es-CO"/>
              </w:rPr>
              <w:t>2.521</w:t>
            </w:r>
          </w:p>
        </w:tc>
      </w:tr>
      <w:tr w:rsidR="00033DC6" w:rsidRPr="00033DC6" w:rsidTr="005F7EC8">
        <w:trPr>
          <w:trHeight w:val="315"/>
          <w:jc w:val="center"/>
        </w:trPr>
        <w:tc>
          <w:tcPr>
            <w:tcW w:w="394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color w:val="000000"/>
                <w:sz w:val="20"/>
                <w:szCs w:val="20"/>
                <w:lang w:eastAsia="es-CO"/>
              </w:rPr>
              <w:t>Does not informgender</w:t>
            </w:r>
          </w:p>
        </w:tc>
        <w:tc>
          <w:tcPr>
            <w:tcW w:w="1970" w:type="dxa"/>
            <w:tcBorders>
              <w:top w:val="single" w:sz="12" w:space="0" w:color="auto"/>
              <w:left w:val="nil"/>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iCs/>
                <w:color w:val="000000"/>
                <w:sz w:val="20"/>
                <w:szCs w:val="20"/>
                <w:lang w:eastAsia="es-CO"/>
              </w:rPr>
              <w:t>63</w:t>
            </w:r>
          </w:p>
        </w:tc>
      </w:tr>
      <w:tr w:rsidR="00033DC6" w:rsidRPr="00033DC6" w:rsidTr="005F7EC8">
        <w:trPr>
          <w:trHeight w:val="315"/>
          <w:jc w:val="center"/>
        </w:trPr>
        <w:tc>
          <w:tcPr>
            <w:tcW w:w="39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color w:val="000000"/>
                <w:sz w:val="20"/>
                <w:szCs w:val="20"/>
                <w:lang w:eastAsia="es-CO"/>
              </w:rPr>
              <w:t>Gypsy ROM</w:t>
            </w:r>
          </w:p>
        </w:tc>
        <w:tc>
          <w:tcPr>
            <w:tcW w:w="19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iCs/>
                <w:color w:val="000000"/>
                <w:sz w:val="20"/>
                <w:szCs w:val="20"/>
                <w:lang w:eastAsia="es-CO"/>
              </w:rPr>
              <w:t>3</w:t>
            </w:r>
          </w:p>
        </w:tc>
      </w:tr>
      <w:tr w:rsidR="00033DC6" w:rsidRPr="00033DC6" w:rsidTr="005F7EC8">
        <w:trPr>
          <w:trHeight w:val="315"/>
          <w:jc w:val="center"/>
        </w:trPr>
        <w:tc>
          <w:tcPr>
            <w:tcW w:w="39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color w:val="000000"/>
                <w:sz w:val="20"/>
                <w:szCs w:val="20"/>
                <w:lang w:eastAsia="es-CO"/>
              </w:rPr>
              <w:t>Indigenous</w:t>
            </w:r>
          </w:p>
        </w:tc>
        <w:tc>
          <w:tcPr>
            <w:tcW w:w="19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iCs/>
                <w:color w:val="000000"/>
                <w:sz w:val="20"/>
                <w:szCs w:val="20"/>
                <w:lang w:eastAsia="es-CO"/>
              </w:rPr>
              <w:t>10</w:t>
            </w:r>
          </w:p>
        </w:tc>
      </w:tr>
      <w:tr w:rsidR="00033DC6" w:rsidRPr="00033DC6" w:rsidTr="005F7EC8">
        <w:trPr>
          <w:trHeight w:val="315"/>
          <w:jc w:val="center"/>
        </w:trPr>
        <w:tc>
          <w:tcPr>
            <w:tcW w:w="39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color w:val="000000"/>
                <w:sz w:val="20"/>
                <w:szCs w:val="20"/>
                <w:lang w:eastAsia="es-CO"/>
              </w:rPr>
              <w:t>Black</w:t>
            </w:r>
          </w:p>
        </w:tc>
        <w:tc>
          <w:tcPr>
            <w:tcW w:w="19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iCs/>
                <w:color w:val="000000"/>
                <w:sz w:val="20"/>
                <w:szCs w:val="20"/>
                <w:lang w:eastAsia="es-CO"/>
              </w:rPr>
              <w:t>141</w:t>
            </w:r>
          </w:p>
        </w:tc>
      </w:tr>
      <w:tr w:rsidR="00033DC6" w:rsidRPr="00033DC6" w:rsidTr="005F7EC8">
        <w:trPr>
          <w:trHeight w:val="915"/>
          <w:jc w:val="center"/>
        </w:trPr>
        <w:tc>
          <w:tcPr>
            <w:tcW w:w="39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val="en-US" w:eastAsia="es-CO"/>
              </w:rPr>
            </w:pPr>
            <w:r w:rsidRPr="00033DC6">
              <w:rPr>
                <w:rFonts w:ascii="Times New Roman" w:eastAsia="Times New Roman" w:hAnsi="Times New Roman" w:cs="Times New Roman"/>
                <w:bCs/>
                <w:color w:val="000000"/>
                <w:sz w:val="20"/>
                <w:szCs w:val="20"/>
                <w:lang w:val="en-US" w:eastAsia="es-CO"/>
              </w:rPr>
              <w:t>Raizal of the Archipelago of San Andres and Providencia</w:t>
            </w:r>
          </w:p>
        </w:tc>
        <w:tc>
          <w:tcPr>
            <w:tcW w:w="19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33DC6" w:rsidRPr="00033DC6" w:rsidRDefault="00033DC6" w:rsidP="00033DC6">
            <w:pPr>
              <w:spacing w:after="0" w:line="240" w:lineRule="auto"/>
              <w:jc w:val="center"/>
              <w:rPr>
                <w:rFonts w:ascii="Times New Roman" w:eastAsia="Times New Roman" w:hAnsi="Times New Roman" w:cs="Times New Roman"/>
                <w:color w:val="000000"/>
                <w:sz w:val="20"/>
                <w:szCs w:val="20"/>
                <w:lang w:eastAsia="es-CO"/>
              </w:rPr>
            </w:pPr>
            <w:r w:rsidRPr="00033DC6">
              <w:rPr>
                <w:rFonts w:ascii="Times New Roman" w:eastAsia="Times New Roman" w:hAnsi="Times New Roman" w:cs="Times New Roman"/>
                <w:bCs/>
                <w:iCs/>
                <w:color w:val="000000"/>
                <w:sz w:val="20"/>
                <w:szCs w:val="20"/>
                <w:lang w:eastAsia="es-CO"/>
              </w:rPr>
              <w:t>3</w:t>
            </w:r>
          </w:p>
        </w:tc>
      </w:tr>
    </w:tbl>
    <w:p w:rsidR="00033DC6" w:rsidRPr="005F7EC8" w:rsidRDefault="00033DC6" w:rsidP="00775637">
      <w:pPr>
        <w:spacing w:line="20" w:lineRule="atLeast"/>
        <w:jc w:val="center"/>
        <w:rPr>
          <w:rFonts w:ascii="Times New Roman" w:hAnsi="Times New Roman" w:cs="Times New Roman"/>
          <w:bCs/>
          <w:iCs/>
          <w:sz w:val="20"/>
          <w:szCs w:val="20"/>
          <w:lang w:val="en-US"/>
        </w:rPr>
      </w:pPr>
      <w:r w:rsidRPr="005F7EC8">
        <w:rPr>
          <w:rFonts w:ascii="Times New Roman" w:hAnsi="Times New Roman" w:cs="Times New Roman"/>
          <w:b/>
          <w:bCs/>
          <w:iCs/>
          <w:sz w:val="20"/>
          <w:szCs w:val="20"/>
          <w:lang w:val="en-US"/>
        </w:rPr>
        <w:t>Source:</w:t>
      </w:r>
      <w:r w:rsidRPr="005F7EC8">
        <w:rPr>
          <w:rFonts w:ascii="Times New Roman" w:hAnsi="Times New Roman" w:cs="Times New Roman"/>
          <w:bCs/>
          <w:iCs/>
          <w:sz w:val="20"/>
          <w:szCs w:val="20"/>
          <w:lang w:val="en-US"/>
        </w:rPr>
        <w:t xml:space="preserve"> Own elaboration based on UARIV data</w:t>
      </w:r>
    </w:p>
    <w:p w:rsidR="00F17854" w:rsidRPr="00A34D79" w:rsidRDefault="00D06250" w:rsidP="00D06250">
      <w:pPr>
        <w:pStyle w:val="Sinespaciado"/>
        <w:ind w:firstLine="284"/>
        <w:rPr>
          <w:rFonts w:ascii="Times New Roman" w:hAnsi="Times New Roman" w:cs="Times New Roman"/>
          <w:i/>
          <w:lang w:val="en-US"/>
        </w:rPr>
      </w:pPr>
      <w:r w:rsidRPr="00A34D79">
        <w:rPr>
          <w:rFonts w:ascii="Times New Roman" w:hAnsi="Times New Roman" w:cs="Times New Roman"/>
          <w:i/>
          <w:lang w:val="en-US"/>
        </w:rPr>
        <w:t xml:space="preserve">5.5 </w:t>
      </w:r>
      <w:r w:rsidR="00F17854" w:rsidRPr="00A34D79">
        <w:rPr>
          <w:rFonts w:ascii="Times New Roman" w:hAnsi="Times New Roman" w:cs="Times New Roman"/>
          <w:i/>
          <w:sz w:val="24"/>
          <w:lang w:val="en-US"/>
        </w:rPr>
        <w:t>Differential Focus on Aging and Old Age</w:t>
      </w:r>
    </w:p>
    <w:p w:rsidR="00D06250" w:rsidRPr="00D06250" w:rsidRDefault="00D06250" w:rsidP="00D06250">
      <w:pPr>
        <w:pStyle w:val="Sinespaciado"/>
        <w:ind w:firstLine="284"/>
        <w:rPr>
          <w:rFonts w:ascii="Times New Roman" w:hAnsi="Times New Roman" w:cs="Times New Roman"/>
          <w:lang w:val="en-US"/>
        </w:rPr>
      </w:pPr>
      <w:r w:rsidRPr="00D06250">
        <w:rPr>
          <w:rFonts w:ascii="Times New Roman" w:hAnsi="Times New Roman" w:cs="Times New Roman"/>
          <w:lang w:val="en-US"/>
        </w:rPr>
        <w:t>It is recognized that in the armed conflict, older people experience risks that make them more vulnerable in their lives and integrity and that require special protection from the State. On the other hand, it is recognized that they may have restrictions to access and enjoy effective measures of care, assistance and integral repair.</w:t>
      </w:r>
    </w:p>
    <w:p w:rsidR="00D06250" w:rsidRPr="00D06250" w:rsidRDefault="00D06250" w:rsidP="00D06250">
      <w:pPr>
        <w:pStyle w:val="Sinespaciado"/>
        <w:ind w:firstLine="284"/>
        <w:rPr>
          <w:rFonts w:ascii="Times New Roman" w:hAnsi="Times New Roman" w:cs="Times New Roman"/>
          <w:lang w:val="en-US"/>
        </w:rPr>
      </w:pPr>
      <w:r w:rsidRPr="00D06250">
        <w:rPr>
          <w:rFonts w:ascii="Times New Roman" w:hAnsi="Times New Roman" w:cs="Times New Roman"/>
          <w:lang w:val="en-US"/>
        </w:rPr>
        <w:t>They are older people victims of the conflict, who in addition to having experienced some of the victimizing acts recognized by Law 1448 and Decree 4800 of 2011, are 60 years of age or more. It does not matter if the age was before, during or after the occurrence of the victimizing event, all are considered special protection and therefore have the right to access comprehensive care and assistance differentiated and prioritized.</w:t>
      </w:r>
    </w:p>
    <w:p w:rsidR="00D06250" w:rsidRDefault="00D06250" w:rsidP="00D06250">
      <w:pPr>
        <w:pStyle w:val="Sinespaciado"/>
        <w:ind w:firstLine="284"/>
        <w:rPr>
          <w:rFonts w:ascii="Times New Roman" w:hAnsi="Times New Roman" w:cs="Times New Roman"/>
          <w:lang w:val="en-US"/>
        </w:rPr>
      </w:pPr>
      <w:r w:rsidRPr="00D06250">
        <w:rPr>
          <w:rFonts w:ascii="Times New Roman" w:hAnsi="Times New Roman" w:cs="Times New Roman"/>
          <w:lang w:val="en-US"/>
        </w:rPr>
        <w:t>Based on the above, it is recognized that, comprehensive care, assistance and reparation measures for older people must respond to the specific impacts and impacts that affect the elderly in the context of armed conflict. Identifying and responding to your needs, interests and expectations as a priority: Promoting the re-signification of their role as a political subject within their territories and society from an integral perspective of aging that allows to minimize the intergenerational gap.</w:t>
      </w:r>
    </w:p>
    <w:p w:rsidR="00A245C4" w:rsidRPr="005E5B7F" w:rsidRDefault="00A245C4" w:rsidP="00D06250">
      <w:pPr>
        <w:pStyle w:val="Sinespaciado"/>
        <w:ind w:firstLine="284"/>
        <w:rPr>
          <w:rFonts w:ascii="Times New Roman" w:hAnsi="Times New Roman" w:cs="Times New Roman"/>
          <w:i/>
          <w:sz w:val="24"/>
          <w:lang w:val="en-US"/>
        </w:rPr>
      </w:pPr>
    </w:p>
    <w:p w:rsidR="00836A42" w:rsidRPr="005E5B7F" w:rsidRDefault="00836A42" w:rsidP="009F3BEC">
      <w:pPr>
        <w:pStyle w:val="Sinespaciado"/>
        <w:numPr>
          <w:ilvl w:val="0"/>
          <w:numId w:val="4"/>
        </w:numPr>
        <w:ind w:firstLine="284"/>
        <w:rPr>
          <w:rFonts w:ascii="Times New Roman" w:hAnsi="Times New Roman" w:cs="Times New Roman"/>
          <w:i/>
          <w:sz w:val="24"/>
          <w:lang w:val="en-US"/>
        </w:rPr>
      </w:pPr>
      <w:r w:rsidRPr="005E5B7F">
        <w:rPr>
          <w:rFonts w:ascii="Times New Roman" w:hAnsi="Times New Roman" w:cs="Times New Roman"/>
          <w:i/>
          <w:sz w:val="24"/>
          <w:lang w:val="en-US"/>
        </w:rPr>
        <w:t>The role of the Constitutional Court</w:t>
      </w:r>
    </w:p>
    <w:p w:rsidR="00A245C4" w:rsidRDefault="00836A42" w:rsidP="009F3BEC">
      <w:pPr>
        <w:pStyle w:val="Sinespaciado"/>
        <w:ind w:firstLine="284"/>
        <w:rPr>
          <w:rFonts w:ascii="Times New Roman" w:hAnsi="Times New Roman" w:cs="Times New Roman"/>
          <w:lang w:val="en-US"/>
        </w:rPr>
      </w:pPr>
      <w:r w:rsidRPr="008D44F3">
        <w:rPr>
          <w:rFonts w:ascii="Times New Roman" w:hAnsi="Times New Roman" w:cs="Times New Roman"/>
          <w:lang w:val="en-US"/>
        </w:rPr>
        <w:t>On the basis of the importance of guaranteeing rights - particularly to pop</w:t>
      </w:r>
      <w:r w:rsidR="005E5B7F">
        <w:rPr>
          <w:rFonts w:ascii="Times New Roman" w:hAnsi="Times New Roman" w:cs="Times New Roman"/>
          <w:lang w:val="en-US"/>
        </w:rPr>
        <w:t>ulations that have been victim</w:t>
      </w:r>
      <w:r w:rsidRPr="008D44F3">
        <w:rPr>
          <w:rFonts w:ascii="Times New Roman" w:hAnsi="Times New Roman" w:cs="Times New Roman"/>
          <w:lang w:val="en-US"/>
        </w:rPr>
        <w:t xml:space="preserve"> - and due to the high incidence and intensity of the armed conflict that occurred in the early 2000s, where the greatest cases of forced displacement. The Constitutional Court declared the </w:t>
      </w:r>
      <w:r w:rsidRPr="00623F30">
        <w:rPr>
          <w:rFonts w:ascii="Times New Roman" w:hAnsi="Times New Roman" w:cs="Times New Roman"/>
          <w:i/>
          <w:lang w:val="en-US"/>
        </w:rPr>
        <w:t xml:space="preserve">State of Unconstitutional Things </w:t>
      </w:r>
      <w:r w:rsidRPr="008D44F3">
        <w:rPr>
          <w:rFonts w:ascii="Times New Roman" w:hAnsi="Times New Roman" w:cs="Times New Roman"/>
          <w:lang w:val="en-US"/>
        </w:rPr>
        <w:t xml:space="preserve">(Lyons, Monterroza and Meza, 2016) arguing that there was evidence of massive and systemic violation of </w:t>
      </w:r>
      <w:r w:rsidR="00BB2472" w:rsidRPr="008D44F3">
        <w:rPr>
          <w:rFonts w:ascii="Times New Roman" w:hAnsi="Times New Roman" w:cs="Times New Roman"/>
          <w:lang w:val="en-US"/>
        </w:rPr>
        <w:t>fundamental rights to millions o</w:t>
      </w:r>
      <w:r w:rsidRPr="008D44F3">
        <w:rPr>
          <w:rFonts w:ascii="Times New Roman" w:hAnsi="Times New Roman" w:cs="Times New Roman"/>
          <w:lang w:val="en-US"/>
        </w:rPr>
        <w:t>f people, many of them traditionally discriminated, marginalized, excluded and invisible. In more precise terms, the State of Unconstitutionality was due to non-compliance with the Constit</w:t>
      </w:r>
      <w:r w:rsidR="00A245C4">
        <w:rPr>
          <w:rFonts w:ascii="Times New Roman" w:hAnsi="Times New Roman" w:cs="Times New Roman"/>
          <w:lang w:val="en-US"/>
        </w:rPr>
        <w:t>utional mandate, which states:</w:t>
      </w:r>
    </w:p>
    <w:p w:rsidR="005325A3" w:rsidRPr="008D44F3" w:rsidRDefault="00A245C4" w:rsidP="00230050">
      <w:pPr>
        <w:pStyle w:val="Sinespaciado"/>
        <w:rPr>
          <w:rFonts w:ascii="Times New Roman" w:hAnsi="Times New Roman" w:cs="Times New Roman"/>
          <w:lang w:val="en-US"/>
        </w:rPr>
      </w:pPr>
      <w:r>
        <w:rPr>
          <w:rFonts w:ascii="Times New Roman" w:hAnsi="Times New Roman" w:cs="Times New Roman"/>
          <w:lang w:val="en-US"/>
        </w:rPr>
        <w:t xml:space="preserve"> “</w:t>
      </w:r>
      <w:r w:rsidR="00836A42" w:rsidRPr="008D44F3">
        <w:rPr>
          <w:rFonts w:ascii="Times New Roman" w:hAnsi="Times New Roman" w:cs="Times New Roman"/>
          <w:lang w:val="en-US"/>
        </w:rPr>
        <w:t>The authorities of the Republic are instituted to protect all persons living in Colombia in their life, honor, property, beliefs</w:t>
      </w:r>
      <w:r>
        <w:rPr>
          <w:rFonts w:ascii="Times New Roman" w:hAnsi="Times New Roman" w:cs="Times New Roman"/>
          <w:lang w:val="en-US"/>
        </w:rPr>
        <w:t xml:space="preserve"> and other rights and freedoms” </w:t>
      </w:r>
      <w:r w:rsidR="00836A42" w:rsidRPr="008D44F3">
        <w:rPr>
          <w:rFonts w:ascii="Times New Roman" w:hAnsi="Times New Roman" w:cs="Times New Roman"/>
          <w:lang w:val="en-US"/>
        </w:rPr>
        <w:lastRenderedPageBreak/>
        <w:t>(Political Constitution of Colombia, 1991, Article 2, quoted by: Constitutional Court, Judgment T-025, page 27). Consequently and</w:t>
      </w:r>
    </w:p>
    <w:p w:rsidR="00836A42" w:rsidRPr="00623F30" w:rsidRDefault="00836A42" w:rsidP="00623F30">
      <w:pPr>
        <w:pStyle w:val="Sinespaciado"/>
        <w:ind w:left="284" w:firstLine="284"/>
        <w:jc w:val="both"/>
        <w:rPr>
          <w:rFonts w:ascii="Times New Roman" w:hAnsi="Times New Roman" w:cs="Times New Roman"/>
          <w:sz w:val="20"/>
          <w:lang w:val="en-US"/>
        </w:rPr>
      </w:pPr>
      <w:r w:rsidRPr="00623F30">
        <w:rPr>
          <w:rFonts w:ascii="Times New Roman" w:hAnsi="Times New Roman" w:cs="Times New Roman"/>
          <w:sz w:val="20"/>
          <w:lang w:val="en-US"/>
        </w:rPr>
        <w:t>Because of this multiplicity of constitutional rights affected by displacement, and vulnerability and defenselessness in which the displaced are found, constitutional jurisprudence has emphasized that these have, in general terms, a right to Urgently receive preferential treatment from the State (</w:t>
      </w:r>
      <w:r w:rsidR="002B6698" w:rsidRPr="00623F30">
        <w:rPr>
          <w:rFonts w:ascii="Times New Roman" w:hAnsi="Times New Roman" w:cs="Times New Roman"/>
          <w:sz w:val="20"/>
          <w:lang w:val="en-US"/>
        </w:rPr>
        <w:t>CONSTITUCIONAL</w:t>
      </w:r>
      <w:r w:rsidRPr="00623F30">
        <w:rPr>
          <w:rFonts w:ascii="Times New Roman" w:hAnsi="Times New Roman" w:cs="Times New Roman"/>
          <w:sz w:val="20"/>
          <w:lang w:val="en-US"/>
        </w:rPr>
        <w:t>, Judgment T-025, 2004, p. 1).</w:t>
      </w:r>
    </w:p>
    <w:p w:rsidR="00F17854" w:rsidRDefault="00836A42" w:rsidP="00623F30">
      <w:pPr>
        <w:pStyle w:val="Sinespaciado"/>
        <w:ind w:firstLine="284"/>
        <w:jc w:val="both"/>
        <w:rPr>
          <w:rFonts w:ascii="Times New Roman" w:hAnsi="Times New Roman" w:cs="Times New Roman"/>
          <w:lang w:val="en-US"/>
        </w:rPr>
      </w:pPr>
      <w:r w:rsidRPr="008D44F3">
        <w:rPr>
          <w:rFonts w:ascii="Times New Roman" w:hAnsi="Times New Roman" w:cs="Times New Roman"/>
          <w:lang w:val="en-US"/>
        </w:rPr>
        <w:t xml:space="preserve">Although the Constitutional Court does not affirm that the State is the cause of the massive violation of the fundamental rights of the displaced population, it does maintain that public policy on providing and / or responding to this phenomenon has been inefficient, in other words , for a long time the government showed a denial of the problem of forced displacement, and it had to wait until September 1995 for the recognition that displacement was related to violence and not only the result of natural disasters. This involved developing a political proposal, which was done through document CONPES 2804 of 1995. However, it should be remembered that Law 387 of 1997 was followed by an increase in the number of displaced persons. However, in terms of public </w:t>
      </w:r>
      <w:r w:rsidR="00623F30">
        <w:rPr>
          <w:rFonts w:ascii="Times New Roman" w:hAnsi="Times New Roman" w:cs="Times New Roman"/>
          <w:lang w:val="en-US"/>
        </w:rPr>
        <w:t xml:space="preserve">policies, </w:t>
      </w:r>
      <w:r w:rsidRPr="008D44F3">
        <w:rPr>
          <w:rFonts w:ascii="Times New Roman" w:hAnsi="Times New Roman" w:cs="Times New Roman"/>
          <w:lang w:val="en-US"/>
        </w:rPr>
        <w:t>the results were precarious and the Constitutional Court declared the State of Unconstitutional Affairs in the face of the situation of the displaced, through sentence T-025.</w:t>
      </w:r>
    </w:p>
    <w:p w:rsidR="008D11C0" w:rsidRPr="008D44F3" w:rsidRDefault="008D11C0" w:rsidP="00623F30">
      <w:pPr>
        <w:pStyle w:val="Sinespaciado"/>
        <w:ind w:firstLine="284"/>
        <w:jc w:val="both"/>
        <w:rPr>
          <w:rFonts w:ascii="Times New Roman" w:hAnsi="Times New Roman" w:cs="Times New Roman"/>
          <w:lang w:val="en-US"/>
        </w:rPr>
      </w:pPr>
    </w:p>
    <w:p w:rsidR="008D11C0" w:rsidRPr="008D11C0" w:rsidRDefault="008D11C0" w:rsidP="008D11C0">
      <w:pPr>
        <w:pStyle w:val="Sinespaciado"/>
        <w:numPr>
          <w:ilvl w:val="0"/>
          <w:numId w:val="4"/>
        </w:numPr>
        <w:jc w:val="both"/>
        <w:rPr>
          <w:rFonts w:ascii="Times New Roman" w:hAnsi="Times New Roman" w:cs="Times New Roman"/>
          <w:i/>
          <w:sz w:val="24"/>
          <w:lang w:val="en-US"/>
        </w:rPr>
      </w:pPr>
      <w:r w:rsidRPr="008D11C0">
        <w:rPr>
          <w:rFonts w:ascii="Times New Roman" w:hAnsi="Times New Roman" w:cs="Times New Roman"/>
          <w:i/>
          <w:sz w:val="24"/>
          <w:lang w:val="en-US"/>
        </w:rPr>
        <w:t xml:space="preserve">Conclusion </w:t>
      </w:r>
    </w:p>
    <w:p w:rsidR="000D58F8" w:rsidRPr="008D44F3" w:rsidRDefault="000D58F8" w:rsidP="00273B23">
      <w:pPr>
        <w:pStyle w:val="Sinespaciado"/>
        <w:ind w:firstLine="284"/>
        <w:jc w:val="both"/>
        <w:rPr>
          <w:rFonts w:ascii="Times New Roman" w:hAnsi="Times New Roman" w:cs="Times New Roman"/>
          <w:lang w:val="en-US"/>
        </w:rPr>
      </w:pPr>
      <w:r w:rsidRPr="008D44F3">
        <w:rPr>
          <w:rFonts w:ascii="Times New Roman" w:hAnsi="Times New Roman" w:cs="Times New Roman"/>
          <w:lang w:val="en-US"/>
        </w:rPr>
        <w:t>The capability approach accords with a differential approach. More specifically, the perspective of rights as Sen's goals does not mean that they are entirely consequentialist, that is, that they only value the rights on the basis of their results. Therefore, its capabilities approach converges towards the same objectives as the differential approach proposed by the Constitutional Court, however, the conceptual and theoretical framework constructed by Sen broadens and nourishes the differential approach. In summary, the capability approach agrees with a differential approach such as that proposed by the Constitutional Court where each pe</w:t>
      </w:r>
      <w:r w:rsidR="00671E20" w:rsidRPr="008D44F3">
        <w:rPr>
          <w:rFonts w:ascii="Times New Roman" w:hAnsi="Times New Roman" w:cs="Times New Roman"/>
          <w:lang w:val="en-US"/>
        </w:rPr>
        <w:t>rson is not only to e</w:t>
      </w:r>
      <w:r w:rsidRPr="008D44F3">
        <w:rPr>
          <w:rFonts w:ascii="Times New Roman" w:hAnsi="Times New Roman" w:cs="Times New Roman"/>
          <w:lang w:val="en-US"/>
        </w:rPr>
        <w:t>nd and not a means but must also be treated according to their ability to achieve valuable functionings.</w:t>
      </w:r>
    </w:p>
    <w:p w:rsidR="000D58F8" w:rsidRPr="008D44F3" w:rsidRDefault="000D58F8" w:rsidP="00273B23">
      <w:pPr>
        <w:pStyle w:val="Sinespaciado"/>
        <w:ind w:firstLine="284"/>
        <w:jc w:val="both"/>
        <w:rPr>
          <w:rFonts w:ascii="Times New Roman" w:hAnsi="Times New Roman" w:cs="Times New Roman"/>
          <w:lang w:val="en-US"/>
        </w:rPr>
      </w:pPr>
      <w:r w:rsidRPr="008D44F3">
        <w:rPr>
          <w:rFonts w:ascii="Times New Roman" w:hAnsi="Times New Roman" w:cs="Times New Roman"/>
          <w:lang w:val="en-US"/>
        </w:rPr>
        <w:t>Finally, we can point out some of the concepts provided by the cability approach. For example, the concept of agency is applicable to the case of the armed conflict in Colombia and one of the reasons is in the social struggle that has recently taken momentum as a result of the agreements signed between the guerrilla of the Revolutionary Armed For</w:t>
      </w:r>
      <w:r w:rsidR="009C138E" w:rsidRPr="008D44F3">
        <w:rPr>
          <w:rFonts w:ascii="Times New Roman" w:hAnsi="Times New Roman" w:cs="Times New Roman"/>
          <w:lang w:val="en-US"/>
        </w:rPr>
        <w:t>ces of Colombia Army of Pueblo</w:t>
      </w:r>
      <w:r w:rsidRPr="008D44F3">
        <w:rPr>
          <w:rFonts w:ascii="Times New Roman" w:hAnsi="Times New Roman" w:cs="Times New Roman"/>
          <w:lang w:val="en-US"/>
        </w:rPr>
        <w:t xml:space="preserve"> (FARC-EP) and the government of President Juan Manuel Santos. It should also be noted that social mobilization in Colombia has long been a result of social, political and economic exclusion that has been developed by governments, institutions, landowners, entrepreneurs, etc. An example of this was the massacre of the banana plantations in 1928 in the government of former President Miguel Abadía Méndez, which decided to end a one-month strike organized by the workers' union (which sought to guarantee better working conditions) of the United Fruit Company, the strike ended with a bloodbath on the night of December 5, 1928, where military forces fired on a peaceful gathering of thousands of strikers, killing and wounding many.</w:t>
      </w:r>
    </w:p>
    <w:p w:rsidR="009C138E" w:rsidRPr="008D44F3" w:rsidRDefault="000D58F8" w:rsidP="00273B23">
      <w:pPr>
        <w:pStyle w:val="Sinespaciado"/>
        <w:ind w:firstLine="284"/>
        <w:jc w:val="both"/>
        <w:rPr>
          <w:rFonts w:ascii="Times New Roman" w:hAnsi="Times New Roman" w:cs="Times New Roman"/>
          <w:lang w:val="en-US"/>
        </w:rPr>
      </w:pPr>
      <w:r w:rsidRPr="008D44F3">
        <w:rPr>
          <w:rFonts w:ascii="Times New Roman" w:hAnsi="Times New Roman" w:cs="Times New Roman"/>
          <w:lang w:val="en-US"/>
        </w:rPr>
        <w:t xml:space="preserve">On the other hand, the concept of well-being takes into account that there are ancestral </w:t>
      </w:r>
      <w:r w:rsidR="008D11C0" w:rsidRPr="008D44F3">
        <w:rPr>
          <w:rFonts w:ascii="Times New Roman" w:hAnsi="Times New Roman" w:cs="Times New Roman"/>
          <w:lang w:val="en-US"/>
        </w:rPr>
        <w:t>perspectives</w:t>
      </w:r>
      <w:r w:rsidRPr="008D44F3">
        <w:rPr>
          <w:rFonts w:ascii="Times New Roman" w:hAnsi="Times New Roman" w:cs="Times New Roman"/>
          <w:lang w:val="en-US"/>
        </w:rPr>
        <w:t xml:space="preserve"> and cosmogony as (but not only) in the case of the indigenous, where the </w:t>
      </w:r>
      <w:r w:rsidR="008D11C0" w:rsidRPr="008D44F3">
        <w:rPr>
          <w:rFonts w:ascii="Times New Roman" w:hAnsi="Times New Roman" w:cs="Times New Roman"/>
          <w:lang w:val="en-US"/>
        </w:rPr>
        <w:t>productivity</w:t>
      </w:r>
      <w:r w:rsidRPr="008D44F3">
        <w:rPr>
          <w:rFonts w:ascii="Times New Roman" w:hAnsi="Times New Roman" w:cs="Times New Roman"/>
          <w:lang w:val="en-US"/>
        </w:rPr>
        <w:t xml:space="preserve"> vision has no space. Quite the contrary, these </w:t>
      </w:r>
      <w:r w:rsidRPr="008D44F3">
        <w:rPr>
          <w:rFonts w:ascii="Times New Roman" w:hAnsi="Times New Roman" w:cs="Times New Roman"/>
          <w:lang w:val="en-US"/>
        </w:rPr>
        <w:lastRenderedPageBreak/>
        <w:t>communities consider that their well-being is based on nature and the environment (for example clean air).</w:t>
      </w:r>
    </w:p>
    <w:p w:rsidR="006F7CAC" w:rsidRDefault="00671E20" w:rsidP="00273B23">
      <w:pPr>
        <w:pStyle w:val="Sinespaciado"/>
        <w:ind w:firstLine="284"/>
        <w:jc w:val="both"/>
        <w:rPr>
          <w:rFonts w:ascii="Times New Roman" w:hAnsi="Times New Roman" w:cs="Times New Roman"/>
          <w:lang w:val="en-US"/>
        </w:rPr>
      </w:pPr>
      <w:r w:rsidRPr="008D44F3">
        <w:rPr>
          <w:rFonts w:ascii="Times New Roman" w:hAnsi="Times New Roman" w:cs="Times New Roman"/>
          <w:lang w:val="en-US"/>
        </w:rPr>
        <w:t>By last</w:t>
      </w:r>
      <w:r w:rsidR="000D58F8" w:rsidRPr="008D44F3">
        <w:rPr>
          <w:rFonts w:ascii="Times New Roman" w:hAnsi="Times New Roman" w:cs="Times New Roman"/>
          <w:lang w:val="en-US"/>
        </w:rPr>
        <w:t>, the conclusion reached is that the displaced population finds in their situation of forced displacement, that their well-being and quality of life is affected not only because they have been stripped of their property, but of their territory. Territory that saw them born.</w:t>
      </w:r>
    </w:p>
    <w:p w:rsidR="00230050" w:rsidRDefault="00230050" w:rsidP="00273B23">
      <w:pPr>
        <w:pStyle w:val="Sinespaciado"/>
        <w:ind w:firstLine="284"/>
        <w:jc w:val="both"/>
        <w:rPr>
          <w:rFonts w:ascii="Times New Roman" w:hAnsi="Times New Roman" w:cs="Times New Roman"/>
          <w:lang w:val="en-US"/>
        </w:rPr>
      </w:pPr>
    </w:p>
    <w:p w:rsidR="00273B23" w:rsidRPr="00C21E32" w:rsidRDefault="00273B23" w:rsidP="00C21E32">
      <w:pPr>
        <w:pStyle w:val="Sinespaciado"/>
        <w:ind w:firstLine="284"/>
        <w:jc w:val="both"/>
        <w:rPr>
          <w:rFonts w:ascii="Times New Roman" w:hAnsi="Times New Roman" w:cs="Times New Roman"/>
          <w:b/>
          <w:sz w:val="28"/>
          <w:lang w:val="en-US"/>
        </w:rPr>
      </w:pPr>
      <w:r w:rsidRPr="00C21E32">
        <w:rPr>
          <w:rFonts w:ascii="Times New Roman" w:hAnsi="Times New Roman" w:cs="Times New Roman"/>
          <w:b/>
          <w:sz w:val="28"/>
          <w:lang w:val="en-US"/>
        </w:rPr>
        <w:t>Notes</w:t>
      </w:r>
    </w:p>
    <w:p w:rsidR="00AD2E3B" w:rsidRDefault="00AD2E3B" w:rsidP="00C21E32">
      <w:pPr>
        <w:pStyle w:val="Sinespaciado"/>
        <w:ind w:firstLine="284"/>
        <w:jc w:val="both"/>
        <w:rPr>
          <w:rFonts w:ascii="Times New Roman" w:hAnsi="Times New Roman" w:cs="Times New Roman"/>
          <w:lang w:val="en-US"/>
        </w:rPr>
      </w:pPr>
      <w:r>
        <w:rPr>
          <w:rFonts w:ascii="Times New Roman" w:hAnsi="Times New Roman" w:cs="Times New Roman"/>
          <w:lang w:val="en-US"/>
        </w:rPr>
        <w:t xml:space="preserve">1. </w:t>
      </w:r>
      <w:r w:rsidRPr="008D7CAC">
        <w:rPr>
          <w:rFonts w:ascii="Times New Roman" w:hAnsi="Times New Roman" w:cs="Times New Roman"/>
          <w:lang w:val="en-US"/>
        </w:rPr>
        <w:t>Amatya Sen has drawn attention to the gap between ethics and economics by pointing out that the nature of modern economics has been substantially impoverished by distancing itself from ethics.</w:t>
      </w:r>
    </w:p>
    <w:p w:rsidR="00273B23" w:rsidRPr="008D44F3" w:rsidRDefault="00AD2E3B" w:rsidP="00C21E32">
      <w:pPr>
        <w:pStyle w:val="Sinespaciado"/>
        <w:ind w:firstLine="284"/>
        <w:jc w:val="both"/>
        <w:rPr>
          <w:rFonts w:ascii="Times New Roman" w:hAnsi="Times New Roman" w:cs="Times New Roman"/>
          <w:i/>
          <w:lang w:val="en-US"/>
        </w:rPr>
      </w:pPr>
      <w:r>
        <w:rPr>
          <w:rFonts w:ascii="Times New Roman" w:hAnsi="Times New Roman" w:cs="Times New Roman"/>
          <w:lang w:val="en-US"/>
        </w:rPr>
        <w:t>2</w:t>
      </w:r>
      <w:r w:rsidR="00273B23" w:rsidRPr="008D44F3">
        <w:rPr>
          <w:rFonts w:ascii="Times New Roman" w:hAnsi="Times New Roman" w:cs="Times New Roman"/>
          <w:i/>
          <w:lang w:val="en-US"/>
        </w:rPr>
        <w:t>.</w:t>
      </w:r>
      <w:r w:rsidR="00682E2E" w:rsidRPr="00682E2E">
        <w:rPr>
          <w:rFonts w:ascii="Times New Roman" w:hAnsi="Times New Roman" w:cs="Times New Roman"/>
          <w:lang w:val="en-US"/>
        </w:rPr>
        <w:t>Nussbaum’s affirms that the main topic of Sen’s is the quality of life, while she is the search for the social justice and democracy in a liberal framework.In this regard, it is worth mentioning that recently Ingrid Robeyns has questioned Nussbaum's position of reduce the "capabilitarianism" approach in "two threads". First, Robeyns (2016) argues that Nussbaum has reduced the the capabiliy approach  as an approach to (1) benchmarking quality of life and (2) theory Of basic social justice, omitting that there are many purposes other than (1) and (2). Among purposes are (a) evaluation of small-scale projects (see Alkire, 2002); (B) technology for devel</w:t>
      </w:r>
      <w:r w:rsidR="00682E2E">
        <w:rPr>
          <w:rFonts w:ascii="Times New Roman" w:hAnsi="Times New Roman" w:cs="Times New Roman"/>
          <w:lang w:val="en-US"/>
        </w:rPr>
        <w:t xml:space="preserve">opment (see Oosterlaken, 2009), </w:t>
      </w:r>
      <w:r w:rsidR="00682E2E" w:rsidRPr="00682E2E">
        <w:rPr>
          <w:rFonts w:ascii="Times New Roman" w:hAnsi="Times New Roman" w:cs="Times New Roman"/>
          <w:lang w:val="en-US"/>
        </w:rPr>
        <w:t>(c) criticism of contemporary capitalism (see Claassen, 2009); (D) education (see Saito, 2003; Walker, 2003; Hart, 2009; Unterhalter, 2013).</w:t>
      </w:r>
    </w:p>
    <w:p w:rsidR="003E695E" w:rsidRDefault="00273B23" w:rsidP="003E695E">
      <w:pPr>
        <w:pStyle w:val="Sinespaciado"/>
        <w:ind w:firstLine="284"/>
        <w:jc w:val="both"/>
        <w:rPr>
          <w:rFonts w:ascii="Times New Roman" w:hAnsi="Times New Roman" w:cs="Times New Roman"/>
          <w:lang w:val="en-US"/>
        </w:rPr>
      </w:pPr>
      <w:r w:rsidRPr="00A34D79">
        <w:rPr>
          <w:rFonts w:ascii="Times New Roman" w:hAnsi="Times New Roman" w:cs="Times New Roman"/>
          <w:lang w:val="en-US"/>
        </w:rPr>
        <w:t>3.</w:t>
      </w:r>
      <w:r w:rsidRPr="008D44F3">
        <w:rPr>
          <w:rFonts w:ascii="Times New Roman" w:hAnsi="Times New Roman" w:cs="Times New Roman"/>
          <w:lang w:val="en-US"/>
        </w:rPr>
        <w:t xml:space="preserve"> For example the analysis of multidimensional poverty of people in situations of forced displacement does not imply that it is intended to reduce the causes of displacement to a "simple" phenomenon of poverty but rather that the well-being and quality of life of the displaced are doubly affected as a result of the deprivation of their capabilities</w:t>
      </w:r>
      <w:r w:rsidR="00C21E32">
        <w:rPr>
          <w:rFonts w:ascii="Times New Roman" w:hAnsi="Times New Roman" w:cs="Times New Roman"/>
          <w:lang w:val="en-US"/>
        </w:rPr>
        <w:t>.</w:t>
      </w:r>
    </w:p>
    <w:p w:rsidR="003E695E" w:rsidRDefault="003E695E" w:rsidP="003E695E">
      <w:pPr>
        <w:pStyle w:val="Sinespaciado"/>
        <w:ind w:firstLine="284"/>
        <w:jc w:val="both"/>
        <w:rPr>
          <w:rFonts w:ascii="Times New Roman" w:hAnsi="Times New Roman" w:cs="Times New Roman"/>
          <w:lang w:val="en-US"/>
        </w:rPr>
      </w:pPr>
      <w:r>
        <w:rPr>
          <w:rFonts w:ascii="Times New Roman" w:hAnsi="Times New Roman" w:cs="Times New Roman"/>
          <w:lang w:val="en-US"/>
        </w:rPr>
        <w:t xml:space="preserve">4. </w:t>
      </w:r>
      <w:r w:rsidRPr="003E695E">
        <w:rPr>
          <w:rFonts w:ascii="Times New Roman" w:hAnsi="Times New Roman" w:cs="Times New Roman"/>
          <w:lang w:val="en-US"/>
        </w:rPr>
        <w:t>Consult the website:</w:t>
      </w:r>
      <w:r>
        <w:rPr>
          <w:rFonts w:ascii="Times New Roman" w:hAnsi="Times New Roman" w:cs="Times New Roman"/>
          <w:lang w:val="en-US"/>
        </w:rPr>
        <w:t xml:space="preserve"> </w:t>
      </w:r>
      <w:hyperlink r:id="rId9" w:history="1">
        <w:r w:rsidRPr="00E92C4E">
          <w:rPr>
            <w:rStyle w:val="Hipervnculo"/>
            <w:rFonts w:ascii="Times New Roman" w:hAnsi="Times New Roman" w:cs="Times New Roman"/>
            <w:lang w:val="en-US"/>
          </w:rPr>
          <w:t>http://www.unidadvictimas.gov.co/es/enfoque-diferencial-de-g%C3%A9nero-y-derechos-humanos-de-las-mujeres/359</w:t>
        </w:r>
      </w:hyperlink>
    </w:p>
    <w:p w:rsidR="00273B23" w:rsidRPr="008D44F3" w:rsidRDefault="00273B23" w:rsidP="00DE688E">
      <w:pPr>
        <w:pStyle w:val="Sinespaciado"/>
        <w:ind w:left="284" w:hanging="284"/>
        <w:rPr>
          <w:rFonts w:ascii="Times New Roman" w:hAnsi="Times New Roman" w:cs="Times New Roman"/>
          <w:b/>
          <w:lang w:val="en-US"/>
        </w:rPr>
      </w:pPr>
    </w:p>
    <w:p w:rsidR="00DE688E" w:rsidRPr="00C21E32" w:rsidRDefault="00DE688E" w:rsidP="00DE688E">
      <w:pPr>
        <w:pStyle w:val="Sinespaciado"/>
        <w:ind w:left="284" w:hanging="284"/>
        <w:rPr>
          <w:rFonts w:ascii="Times New Roman" w:hAnsi="Times New Roman" w:cs="Times New Roman"/>
          <w:b/>
          <w:sz w:val="28"/>
        </w:rPr>
      </w:pPr>
      <w:r w:rsidRPr="00C21E32">
        <w:rPr>
          <w:rFonts w:ascii="Times New Roman" w:hAnsi="Times New Roman" w:cs="Times New Roman"/>
          <w:b/>
          <w:sz w:val="28"/>
        </w:rPr>
        <w:t>References</w:t>
      </w:r>
    </w:p>
    <w:p w:rsidR="00A5696D" w:rsidRDefault="00C12469" w:rsidP="00DE688E">
      <w:pPr>
        <w:pStyle w:val="Sinespaciado"/>
        <w:ind w:left="284" w:hanging="284"/>
        <w:rPr>
          <w:rFonts w:ascii="Times New Roman" w:hAnsi="Times New Roman" w:cs="Times New Roman"/>
          <w:lang w:val="en-US"/>
        </w:rPr>
      </w:pPr>
      <w:r w:rsidRPr="008D44F3">
        <w:rPr>
          <w:rFonts w:ascii="Times New Roman" w:hAnsi="Times New Roman" w:cs="Times New Roman"/>
        </w:rPr>
        <w:t>Acemoglu, D., &amp; Robinson, J. A. (2013). </w:t>
      </w:r>
      <w:r w:rsidRPr="008D44F3">
        <w:rPr>
          <w:rFonts w:ascii="Times New Roman" w:hAnsi="Times New Roman" w:cs="Times New Roman"/>
          <w:i/>
          <w:iCs/>
          <w:lang w:val="en-US"/>
        </w:rPr>
        <w:t>Why nations fail: The origins of power, prosperity, and poverty</w:t>
      </w:r>
      <w:r w:rsidRPr="008D44F3">
        <w:rPr>
          <w:rFonts w:ascii="Times New Roman" w:hAnsi="Times New Roman" w:cs="Times New Roman"/>
          <w:lang w:val="en-US"/>
        </w:rPr>
        <w:t>. Crown Business.</w:t>
      </w:r>
    </w:p>
    <w:p w:rsidR="00A5696D" w:rsidRPr="000A6B44" w:rsidRDefault="007A5856" w:rsidP="00DE688E">
      <w:pPr>
        <w:pStyle w:val="Sinespaciado"/>
        <w:ind w:left="284" w:hanging="284"/>
        <w:rPr>
          <w:rFonts w:ascii="Times New Roman" w:hAnsi="Times New Roman" w:cs="Times New Roman"/>
          <w:lang w:val="de-AT"/>
        </w:rPr>
      </w:pPr>
      <w:r w:rsidRPr="008D44F3">
        <w:rPr>
          <w:rFonts w:ascii="Times New Roman" w:hAnsi="Times New Roman" w:cs="Times New Roman"/>
          <w:lang w:val="en-US"/>
        </w:rPr>
        <w:t xml:space="preserve">Alkire, S. (2005). Why the Capability Approach? </w:t>
      </w:r>
      <w:r w:rsidRPr="008D44F3">
        <w:rPr>
          <w:rFonts w:ascii="Times New Roman" w:hAnsi="Times New Roman" w:cs="Times New Roman"/>
          <w:i/>
          <w:iCs/>
          <w:lang w:val="en-US"/>
        </w:rPr>
        <w:t>Journal of Human Development</w:t>
      </w:r>
      <w:r w:rsidRPr="008D44F3">
        <w:rPr>
          <w:rFonts w:ascii="Times New Roman" w:hAnsi="Times New Roman" w:cs="Times New Roman"/>
          <w:lang w:val="en-US"/>
        </w:rPr>
        <w:t xml:space="preserve">, </w:t>
      </w:r>
      <w:r w:rsidRPr="008D44F3">
        <w:rPr>
          <w:rFonts w:ascii="Times New Roman" w:hAnsi="Times New Roman" w:cs="Times New Roman"/>
          <w:i/>
          <w:iCs/>
          <w:lang w:val="en-US"/>
        </w:rPr>
        <w:t>6</w:t>
      </w:r>
      <w:r w:rsidRPr="008D44F3">
        <w:rPr>
          <w:rFonts w:ascii="Times New Roman" w:hAnsi="Times New Roman" w:cs="Times New Roman"/>
          <w:lang w:val="en-US"/>
        </w:rPr>
        <w:t xml:space="preserve">(1), 115–135. </w:t>
      </w:r>
      <w:hyperlink r:id="rId10" w:history="1">
        <w:r w:rsidRPr="000A6B44">
          <w:rPr>
            <w:rStyle w:val="Hipervnculo"/>
            <w:rFonts w:ascii="Times New Roman" w:hAnsi="Times New Roman" w:cs="Times New Roman"/>
            <w:lang w:val="de-AT"/>
          </w:rPr>
          <w:t>https://doi.org/10.1080/146498805200034275</w:t>
        </w:r>
      </w:hyperlink>
    </w:p>
    <w:p w:rsidR="00A5696D" w:rsidRPr="008D44F3" w:rsidRDefault="007A5856" w:rsidP="00DE688E">
      <w:pPr>
        <w:pStyle w:val="Sinespaciado"/>
        <w:ind w:left="284" w:hanging="284"/>
        <w:rPr>
          <w:rFonts w:ascii="Times New Roman" w:hAnsi="Times New Roman" w:cs="Times New Roman"/>
          <w:lang w:val="en-US"/>
        </w:rPr>
      </w:pPr>
      <w:r w:rsidRPr="000A6B44">
        <w:rPr>
          <w:rFonts w:ascii="Times New Roman" w:hAnsi="Times New Roman" w:cs="Times New Roman"/>
          <w:lang w:val="de-AT"/>
        </w:rPr>
        <w:t xml:space="preserve">Alsop, R., Bertelsen, M. F., &amp; Holland, J. (2006). </w:t>
      </w:r>
      <w:r w:rsidRPr="008D44F3">
        <w:rPr>
          <w:rFonts w:ascii="Times New Roman" w:hAnsi="Times New Roman" w:cs="Times New Roman"/>
          <w:i/>
          <w:iCs/>
          <w:lang w:val="en-US"/>
        </w:rPr>
        <w:t>Empowerment in Practice: From Analysis to Implementation</w:t>
      </w:r>
      <w:r w:rsidRPr="008D44F3">
        <w:rPr>
          <w:rFonts w:ascii="Times New Roman" w:hAnsi="Times New Roman" w:cs="Times New Roman"/>
          <w:lang w:val="en-US"/>
        </w:rPr>
        <w:t xml:space="preserve">. </w:t>
      </w:r>
      <w:r w:rsidRPr="008D44F3">
        <w:rPr>
          <w:rFonts w:ascii="Times New Roman" w:hAnsi="Times New Roman" w:cs="Times New Roman"/>
          <w:i/>
          <w:iCs/>
          <w:lang w:val="en-US"/>
        </w:rPr>
        <w:t>Development</w:t>
      </w:r>
      <w:r w:rsidRPr="008D44F3">
        <w:rPr>
          <w:rFonts w:ascii="Times New Roman" w:hAnsi="Times New Roman" w:cs="Times New Roman"/>
          <w:lang w:val="en-US"/>
        </w:rPr>
        <w:t xml:space="preserve">. </w:t>
      </w:r>
      <w:hyperlink r:id="rId11" w:history="1">
        <w:r w:rsidRPr="008D44F3">
          <w:rPr>
            <w:rStyle w:val="Hipervnculo"/>
            <w:rFonts w:ascii="Times New Roman" w:hAnsi="Times New Roman" w:cs="Times New Roman"/>
            <w:lang w:val="en-US"/>
          </w:rPr>
          <w:t>https://doi.org/10.1596/978-0-8213-6450-5</w:t>
        </w:r>
      </w:hyperlink>
    </w:p>
    <w:p w:rsidR="00EA414E" w:rsidRPr="008D44F3" w:rsidRDefault="007A5856" w:rsidP="00EA414E">
      <w:pPr>
        <w:pStyle w:val="Sinespaciado"/>
        <w:ind w:left="284" w:hanging="284"/>
        <w:rPr>
          <w:rFonts w:ascii="Times New Roman" w:hAnsi="Times New Roman" w:cs="Times New Roman"/>
          <w:lang w:val="en-US"/>
        </w:rPr>
      </w:pPr>
      <w:r w:rsidRPr="008D44F3">
        <w:rPr>
          <w:rFonts w:ascii="Times New Roman" w:hAnsi="Times New Roman" w:cs="Times New Roman"/>
          <w:lang w:val="en-US"/>
        </w:rPr>
        <w:t>Ballon, P. (2013). The selection of functionings and capabilities: a survey of empirical studies. </w:t>
      </w:r>
      <w:r w:rsidRPr="008D44F3">
        <w:rPr>
          <w:rFonts w:ascii="Times New Roman" w:hAnsi="Times New Roman" w:cs="Times New Roman"/>
          <w:i/>
          <w:iCs/>
          <w:lang w:val="en-US"/>
        </w:rPr>
        <w:t>Partnership for Economic Policy (PEP)</w:t>
      </w:r>
      <w:r w:rsidRPr="008D44F3">
        <w:rPr>
          <w:rFonts w:ascii="Times New Roman" w:hAnsi="Times New Roman" w:cs="Times New Roman"/>
          <w:lang w:val="en-US"/>
        </w:rPr>
        <w:t>.</w:t>
      </w:r>
      <w:r w:rsidR="006D363F" w:rsidRPr="008D44F3">
        <w:rPr>
          <w:rFonts w:ascii="Times New Roman" w:hAnsi="Times New Roman" w:cs="Times New Roman"/>
          <w:lang w:val="en-US"/>
        </w:rPr>
        <w:t xml:space="preserve"> </w:t>
      </w:r>
      <w:r w:rsidR="00EA414E" w:rsidRPr="008D44F3">
        <w:rPr>
          <w:rFonts w:ascii="Times New Roman" w:hAnsi="Times New Roman" w:cs="Times New Roman"/>
          <w:lang w:val="en-US"/>
        </w:rPr>
        <w:t>(Available at URL: http://ageconsearch.umn.edu/bitstream/160427/2/1378810639-WP_2013-09_P.Ballon.pdf).</w:t>
      </w:r>
    </w:p>
    <w:p w:rsidR="009252C7" w:rsidRPr="00452D08"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Comim, F., Qizilbash, M., &amp; Alkire, S. (Eds.). (2008). </w:t>
      </w:r>
      <w:r w:rsidRPr="008D44F3">
        <w:rPr>
          <w:rFonts w:ascii="Times New Roman" w:hAnsi="Times New Roman" w:cs="Times New Roman"/>
          <w:i/>
          <w:iCs/>
          <w:lang w:val="en-US"/>
        </w:rPr>
        <w:t>The capability approach: Concepts, measures and applications</w:t>
      </w:r>
      <w:r w:rsidRPr="008D44F3">
        <w:rPr>
          <w:rFonts w:ascii="Times New Roman" w:hAnsi="Times New Roman" w:cs="Times New Roman"/>
          <w:lang w:val="en-US"/>
        </w:rPr>
        <w:t xml:space="preserve">. </w:t>
      </w:r>
      <w:r w:rsidRPr="00452D08">
        <w:rPr>
          <w:rFonts w:ascii="Times New Roman" w:hAnsi="Times New Roman" w:cs="Times New Roman"/>
          <w:lang w:val="en-US"/>
        </w:rPr>
        <w:t>Cambridge University Press.</w:t>
      </w:r>
      <w:r w:rsidR="009252C7" w:rsidRPr="00452D08">
        <w:rPr>
          <w:rFonts w:ascii="Times New Roman" w:hAnsi="Times New Roman" w:cs="Times New Roman"/>
          <w:lang w:val="en-US"/>
        </w:rPr>
        <w:t xml:space="preserve"> </w:t>
      </w:r>
      <w:hyperlink r:id="rId12" w:tgtFrame="_blank" w:history="1">
        <w:r w:rsidR="009252C7" w:rsidRPr="00452D08">
          <w:rPr>
            <w:rStyle w:val="Hipervnculo"/>
            <w:rFonts w:ascii="Times New Roman" w:hAnsi="Times New Roman" w:cs="Times New Roman"/>
            <w:lang w:val="en-US"/>
          </w:rPr>
          <w:t>https://doi.org/10.1017/CBO9780511492587</w:t>
        </w:r>
      </w:hyperlink>
    </w:p>
    <w:p w:rsidR="00CA75E1" w:rsidRPr="00C27D56" w:rsidRDefault="00CA7C96" w:rsidP="00DE688E">
      <w:pPr>
        <w:pStyle w:val="Sinespaciado"/>
        <w:ind w:left="284" w:hanging="284"/>
        <w:rPr>
          <w:rFonts w:ascii="Times New Roman" w:hAnsi="Times New Roman" w:cs="Times New Roman"/>
        </w:rPr>
      </w:pPr>
      <w:r>
        <w:rPr>
          <w:rFonts w:ascii="Times New Roman" w:hAnsi="Times New Roman" w:cs="Times New Roman"/>
          <w:lang w:val="en-US"/>
        </w:rPr>
        <w:t>Constitutional Court.</w:t>
      </w:r>
      <w:r w:rsidR="00FB1B68" w:rsidRPr="00452D08">
        <w:rPr>
          <w:rFonts w:ascii="Times New Roman" w:hAnsi="Times New Roman" w:cs="Times New Roman"/>
          <w:lang w:val="en-US"/>
        </w:rPr>
        <w:t xml:space="preserve"> (2004)</w:t>
      </w:r>
      <w:r w:rsidR="008E7FDF" w:rsidRPr="00452D08">
        <w:rPr>
          <w:rFonts w:ascii="Times New Roman" w:hAnsi="Times New Roman" w:cs="Times New Roman"/>
          <w:lang w:val="en-US"/>
        </w:rPr>
        <w:t xml:space="preserve">. </w:t>
      </w:r>
      <w:r w:rsidRPr="00CA7C96">
        <w:rPr>
          <w:rFonts w:ascii="Times New Roman" w:hAnsi="Times New Roman" w:cs="Times New Roman"/>
          <w:i/>
          <w:lang w:val="en-US"/>
        </w:rPr>
        <w:t>Judgment</w:t>
      </w:r>
      <w:r w:rsidR="008E7FDF" w:rsidRPr="00CA7C96">
        <w:rPr>
          <w:rFonts w:ascii="Times New Roman" w:hAnsi="Times New Roman" w:cs="Times New Roman"/>
          <w:i/>
        </w:rPr>
        <w:t xml:space="preserve"> T- 025</w:t>
      </w:r>
      <w:r w:rsidR="008E7FDF" w:rsidRPr="008E7FDF">
        <w:rPr>
          <w:rFonts w:ascii="Times New Roman" w:hAnsi="Times New Roman" w:cs="Times New Roman"/>
        </w:rPr>
        <w:t>. MP. Manuel José Cepeda Espinosa. Referencia: Expediente T-653010 y acumulados.</w:t>
      </w:r>
      <w:r w:rsidR="008E7FDF">
        <w:rPr>
          <w:rFonts w:ascii="Times New Roman" w:hAnsi="Times New Roman" w:cs="Times New Roman"/>
        </w:rPr>
        <w:t xml:space="preserve"> </w:t>
      </w:r>
      <w:r w:rsidR="008E7FDF" w:rsidRPr="00C27D56">
        <w:rPr>
          <w:rFonts w:ascii="Times New Roman" w:hAnsi="Times New Roman" w:cs="Times New Roman"/>
        </w:rPr>
        <w:t>(Available at URL: http://www.corteconstitucional.gov.co/relatoria/2004/t-025-04.htm).</w:t>
      </w:r>
    </w:p>
    <w:p w:rsidR="007A5856" w:rsidRPr="008D44F3" w:rsidRDefault="007A5856" w:rsidP="00DE688E">
      <w:pPr>
        <w:pStyle w:val="Sinespaciado"/>
        <w:ind w:left="284" w:hanging="284"/>
        <w:rPr>
          <w:rFonts w:ascii="Times New Roman" w:hAnsi="Times New Roman" w:cs="Times New Roman"/>
        </w:rPr>
      </w:pPr>
      <w:r w:rsidRPr="00C27D56">
        <w:rPr>
          <w:rFonts w:ascii="Times New Roman" w:hAnsi="Times New Roman" w:cs="Times New Roman"/>
        </w:rPr>
        <w:lastRenderedPageBreak/>
        <w:t xml:space="preserve">Crocker, D. (2003). </w:t>
      </w:r>
      <w:r w:rsidRPr="008D44F3">
        <w:rPr>
          <w:rFonts w:ascii="Times New Roman" w:hAnsi="Times New Roman" w:cs="Times New Roman"/>
        </w:rPr>
        <w:t>Globalización y desarrollo humano: aproximaciones éticas. </w:t>
      </w:r>
      <w:r w:rsidRPr="008D44F3">
        <w:rPr>
          <w:rFonts w:ascii="Times New Roman" w:hAnsi="Times New Roman" w:cs="Times New Roman"/>
          <w:i/>
          <w:iCs/>
        </w:rPr>
        <w:t>Republicanismo y educación cívica:Más allá del liberalismo</w:t>
      </w:r>
      <w:r w:rsidRPr="008D44F3">
        <w:rPr>
          <w:rFonts w:ascii="Times New Roman" w:hAnsi="Times New Roman" w:cs="Times New Roman"/>
        </w:rPr>
        <w:t>, 75-98.</w:t>
      </w:r>
      <w:r w:rsidR="006D363F" w:rsidRPr="008D44F3">
        <w:rPr>
          <w:rFonts w:ascii="Times New Roman" w:hAnsi="Times New Roman" w:cs="Times New Roman"/>
        </w:rPr>
        <w:t xml:space="preserve"> (Available at URL:http://biblio3.url.edu.gt/PROFASR/DRL/globali_desarro.pdf).</w:t>
      </w:r>
    </w:p>
    <w:p w:rsidR="00A55C1A" w:rsidRPr="00C27D56"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Crocker, D. A. (2008). </w:t>
      </w:r>
      <w:r w:rsidRPr="008D44F3">
        <w:rPr>
          <w:rFonts w:ascii="Times New Roman" w:hAnsi="Times New Roman" w:cs="Times New Roman"/>
          <w:i/>
          <w:iCs/>
          <w:lang w:val="en-US"/>
        </w:rPr>
        <w:t>Ethics of global development: Agency, capability, and deliberative democracy</w:t>
      </w:r>
      <w:r w:rsidRPr="008D44F3">
        <w:rPr>
          <w:rFonts w:ascii="Times New Roman" w:hAnsi="Times New Roman" w:cs="Times New Roman"/>
          <w:lang w:val="en-US"/>
        </w:rPr>
        <w:t xml:space="preserve">. </w:t>
      </w:r>
      <w:r w:rsidRPr="00C27D56">
        <w:rPr>
          <w:rFonts w:ascii="Times New Roman" w:hAnsi="Times New Roman" w:cs="Times New Roman"/>
          <w:lang w:val="en-US"/>
        </w:rPr>
        <w:t>Cambridge University Press.</w:t>
      </w:r>
      <w:r w:rsidR="009252C7" w:rsidRPr="00C27D56">
        <w:rPr>
          <w:rFonts w:ascii="Times New Roman" w:hAnsi="Times New Roman" w:cs="Times New Roman"/>
          <w:lang w:val="en-US"/>
        </w:rPr>
        <w:t xml:space="preserve"> </w:t>
      </w:r>
      <w:hyperlink r:id="rId13" w:history="1">
        <w:r w:rsidR="009252C7" w:rsidRPr="00C27D56">
          <w:rPr>
            <w:rStyle w:val="Hipervnculo"/>
            <w:rFonts w:ascii="Times New Roman" w:hAnsi="Times New Roman" w:cs="Times New Roman"/>
            <w:lang w:val="en-US"/>
          </w:rPr>
          <w:t>https://doi.org/10.1017/CBO9780511492594</w:t>
        </w:r>
      </w:hyperlink>
    </w:p>
    <w:p w:rsidR="009252C7" w:rsidRDefault="007A5856" w:rsidP="00DE688E">
      <w:pPr>
        <w:pStyle w:val="Sinespaciado"/>
        <w:ind w:left="284" w:hanging="284"/>
        <w:rPr>
          <w:rFonts w:ascii="Times New Roman" w:hAnsi="Times New Roman" w:cs="Times New Roman"/>
          <w:lang w:val="en-US"/>
        </w:rPr>
      </w:pPr>
      <w:r w:rsidRPr="00C27D56">
        <w:rPr>
          <w:rFonts w:ascii="Times New Roman" w:hAnsi="Times New Roman" w:cs="Times New Roman"/>
          <w:lang w:val="en-US"/>
        </w:rPr>
        <w:t xml:space="preserve">Crocker, D. A. (2016). </w:t>
      </w:r>
      <w:r w:rsidRPr="008D44F3">
        <w:rPr>
          <w:rFonts w:ascii="Times New Roman" w:hAnsi="Times New Roman" w:cs="Times New Roman"/>
        </w:rPr>
        <w:t>Enfrentando la desigualdad y la corrupción: Agencia, empoderamiento y desarrollo democrático. </w:t>
      </w:r>
      <w:r w:rsidRPr="008D44F3">
        <w:rPr>
          <w:rFonts w:ascii="Times New Roman" w:hAnsi="Times New Roman" w:cs="Times New Roman"/>
          <w:i/>
          <w:iCs/>
          <w:lang w:val="en-US"/>
        </w:rPr>
        <w:t>Veritas</w:t>
      </w:r>
      <w:r w:rsidRPr="008D44F3">
        <w:rPr>
          <w:rFonts w:ascii="Times New Roman" w:hAnsi="Times New Roman" w:cs="Times New Roman"/>
          <w:lang w:val="en-US"/>
        </w:rPr>
        <w:t>, (34), 63-74.</w:t>
      </w:r>
      <w:r w:rsidR="00A55C1A" w:rsidRPr="008D44F3">
        <w:rPr>
          <w:rFonts w:ascii="Times New Roman" w:hAnsi="Times New Roman" w:cs="Times New Roman"/>
          <w:lang w:val="en-US"/>
        </w:rPr>
        <w:t xml:space="preserve"> </w:t>
      </w:r>
      <w:hyperlink r:id="rId14" w:history="1">
        <w:r w:rsidR="009252C7" w:rsidRPr="00E92C4E">
          <w:rPr>
            <w:rStyle w:val="Hipervnculo"/>
            <w:rFonts w:ascii="Times New Roman" w:hAnsi="Times New Roman" w:cs="Times New Roman"/>
            <w:lang w:val="en-US"/>
          </w:rPr>
          <w:t>https://doi.org/10.4067/S0718-92732016000100003</w:t>
        </w:r>
      </w:hyperlink>
    </w:p>
    <w:p w:rsidR="009252C7"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Crocker, D. A. and I. Robeyns, 2009, “Capability and agency” in: Christopher Morris (ed.), </w:t>
      </w:r>
      <w:r w:rsidRPr="008D44F3">
        <w:rPr>
          <w:rFonts w:ascii="Times New Roman" w:hAnsi="Times New Roman" w:cs="Times New Roman"/>
          <w:i/>
          <w:iCs/>
          <w:lang w:val="en-US"/>
        </w:rPr>
        <w:t>The Philosophy of Amartya Sen</w:t>
      </w:r>
      <w:r w:rsidRPr="008D44F3">
        <w:rPr>
          <w:rFonts w:ascii="Times New Roman" w:hAnsi="Times New Roman" w:cs="Times New Roman"/>
          <w:lang w:val="en-US"/>
        </w:rPr>
        <w:t>, Cambridge University Press, 2009, pp. 60–90.</w:t>
      </w:r>
      <w:r w:rsidR="009252C7">
        <w:rPr>
          <w:rFonts w:ascii="Times New Roman" w:hAnsi="Times New Roman" w:cs="Times New Roman"/>
          <w:lang w:val="en-US"/>
        </w:rPr>
        <w:t xml:space="preserve"> </w:t>
      </w:r>
      <w:r w:rsidR="00BE60C2" w:rsidRPr="008D44F3">
        <w:rPr>
          <w:rFonts w:ascii="Times New Roman" w:hAnsi="Times New Roman" w:cs="Times New Roman"/>
          <w:lang w:val="en-US"/>
        </w:rPr>
        <w:t xml:space="preserve"> </w:t>
      </w:r>
      <w:hyperlink r:id="rId15" w:history="1">
        <w:r w:rsidR="009252C7" w:rsidRPr="00E92C4E">
          <w:rPr>
            <w:rStyle w:val="Hipervnculo"/>
            <w:rFonts w:ascii="Times New Roman" w:hAnsi="Times New Roman" w:cs="Times New Roman"/>
            <w:lang w:val="en-US"/>
          </w:rPr>
          <w:t>https://doi.org/10.1017/CBO9780511800511.005</w:t>
        </w:r>
      </w:hyperlink>
    </w:p>
    <w:p w:rsidR="009252C7" w:rsidRPr="00C27D56" w:rsidRDefault="007A5856" w:rsidP="00DE688E">
      <w:pPr>
        <w:pStyle w:val="Sinespaciado"/>
        <w:ind w:left="284" w:hanging="284"/>
        <w:rPr>
          <w:rFonts w:ascii="Times New Roman" w:hAnsi="Times New Roman" w:cs="Times New Roman"/>
        </w:rPr>
      </w:pPr>
      <w:r w:rsidRPr="008D44F3">
        <w:rPr>
          <w:rFonts w:ascii="Times New Roman" w:hAnsi="Times New Roman" w:cs="Times New Roman"/>
          <w:lang w:val="en-US"/>
        </w:rPr>
        <w:t>Fukuda-Parr, S. (2003). The human development paradigm: operationalizing Sen's ideas on capabilities. </w:t>
      </w:r>
      <w:r w:rsidRPr="00C27D56">
        <w:rPr>
          <w:rFonts w:ascii="Times New Roman" w:hAnsi="Times New Roman" w:cs="Times New Roman"/>
          <w:i/>
          <w:iCs/>
        </w:rPr>
        <w:t>Feminist economics</w:t>
      </w:r>
      <w:r w:rsidRPr="00C27D56">
        <w:rPr>
          <w:rFonts w:ascii="Times New Roman" w:hAnsi="Times New Roman" w:cs="Times New Roman"/>
        </w:rPr>
        <w:t>, </w:t>
      </w:r>
      <w:r w:rsidRPr="00C27D56">
        <w:rPr>
          <w:rFonts w:ascii="Times New Roman" w:hAnsi="Times New Roman" w:cs="Times New Roman"/>
          <w:i/>
          <w:iCs/>
        </w:rPr>
        <w:t>9</w:t>
      </w:r>
      <w:r w:rsidRPr="00C27D56">
        <w:rPr>
          <w:rFonts w:ascii="Times New Roman" w:hAnsi="Times New Roman" w:cs="Times New Roman"/>
        </w:rPr>
        <w:t>(2-3), 301-317.</w:t>
      </w:r>
      <w:r w:rsidR="00BE60C2" w:rsidRPr="00C27D56">
        <w:rPr>
          <w:rFonts w:ascii="Times New Roman" w:hAnsi="Times New Roman" w:cs="Times New Roman"/>
        </w:rPr>
        <w:t xml:space="preserve"> </w:t>
      </w:r>
      <w:hyperlink r:id="rId16" w:history="1">
        <w:r w:rsidR="009252C7" w:rsidRPr="00C27D56">
          <w:rPr>
            <w:rStyle w:val="Hipervnculo"/>
            <w:rFonts w:ascii="Times New Roman" w:hAnsi="Times New Roman" w:cs="Times New Roman"/>
          </w:rPr>
          <w:t>https://doi.org/10.1080/1354570022000077980</w:t>
        </w:r>
      </w:hyperlink>
    </w:p>
    <w:p w:rsidR="009252C7" w:rsidRPr="00EA414E"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rPr>
        <w:t>Ibáñez, A., &amp; Velásquez, A. (2008). La Política Pública para atender a la población desplazada: ¿Cuáles deben ser las funciones de las autoridades locales?</w:t>
      </w:r>
      <w:r w:rsidR="00EA414E" w:rsidRPr="00EA414E">
        <w:rPr>
          <w:rFonts w:ascii="Times New Roman" w:hAnsi="Times New Roman" w:cs="Times New Roman"/>
        </w:rPr>
        <w:t xml:space="preserve"> </w:t>
      </w:r>
      <w:r w:rsidR="00EA414E" w:rsidRPr="00EA414E">
        <w:rPr>
          <w:rFonts w:ascii="Times New Roman" w:hAnsi="Times New Roman" w:cs="Times New Roman"/>
          <w:lang w:val="en-US"/>
        </w:rPr>
        <w:t xml:space="preserve">(Available at URL:   </w:t>
      </w:r>
      <w:hyperlink r:id="rId17" w:history="1">
        <w:r w:rsidR="00EA414E" w:rsidRPr="00EA414E">
          <w:rPr>
            <w:rStyle w:val="Hipervnculo"/>
            <w:rFonts w:ascii="Times New Roman" w:hAnsi="Times New Roman" w:cs="Times New Roman"/>
            <w:lang w:val="en-US"/>
          </w:rPr>
          <w:t>https://www.brookings.edu/wp-content/uploads/2016/06/1203_colombia_ibanez_spa.pdf</w:t>
        </w:r>
      </w:hyperlink>
      <w:r w:rsidR="00EA414E" w:rsidRPr="00EA414E">
        <w:rPr>
          <w:rFonts w:ascii="Times New Roman" w:hAnsi="Times New Roman" w:cs="Times New Roman"/>
          <w:lang w:val="en-US"/>
        </w:rPr>
        <w:t>).</w:t>
      </w:r>
    </w:p>
    <w:p w:rsidR="008E7FDF"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Ibrahim, S., &amp; Alkire, S. (2007). Agency and empowerment: A proposal for internationally comparable indicators. </w:t>
      </w:r>
      <w:r w:rsidRPr="008D44F3">
        <w:rPr>
          <w:rFonts w:ascii="Times New Roman" w:hAnsi="Times New Roman" w:cs="Times New Roman"/>
          <w:i/>
          <w:iCs/>
          <w:lang w:val="en-US"/>
        </w:rPr>
        <w:t>Oxford development studies</w:t>
      </w:r>
      <w:r w:rsidRPr="008D44F3">
        <w:rPr>
          <w:rFonts w:ascii="Times New Roman" w:hAnsi="Times New Roman" w:cs="Times New Roman"/>
          <w:lang w:val="en-US"/>
        </w:rPr>
        <w:t>, </w:t>
      </w:r>
      <w:r w:rsidRPr="008D44F3">
        <w:rPr>
          <w:rFonts w:ascii="Times New Roman" w:hAnsi="Times New Roman" w:cs="Times New Roman"/>
          <w:i/>
          <w:iCs/>
          <w:lang w:val="en-US"/>
        </w:rPr>
        <w:t>35</w:t>
      </w:r>
      <w:r w:rsidRPr="008D44F3">
        <w:rPr>
          <w:rFonts w:ascii="Times New Roman" w:hAnsi="Times New Roman" w:cs="Times New Roman"/>
          <w:lang w:val="en-US"/>
        </w:rPr>
        <w:t>(4), 379-403.</w:t>
      </w:r>
      <w:r w:rsidR="009252C7" w:rsidRPr="00C27D56">
        <w:rPr>
          <w:lang w:val="en-US"/>
        </w:rPr>
        <w:t xml:space="preserve"> </w:t>
      </w:r>
      <w:hyperlink r:id="rId18" w:tgtFrame="_blank" w:history="1">
        <w:r w:rsidR="009252C7" w:rsidRPr="00C27D56">
          <w:rPr>
            <w:rStyle w:val="Hipervnculo"/>
            <w:rFonts w:ascii="Times New Roman" w:hAnsi="Times New Roman" w:cs="Times New Roman"/>
            <w:lang w:val="en-US"/>
          </w:rPr>
          <w:t>https://doi.org/10.1080/13600810701701897</w:t>
        </w:r>
      </w:hyperlink>
    </w:p>
    <w:p w:rsidR="00530196" w:rsidRPr="00530196" w:rsidRDefault="00530196" w:rsidP="00DE688E">
      <w:pPr>
        <w:pStyle w:val="Sinespaciado"/>
        <w:ind w:left="284" w:hanging="284"/>
        <w:rPr>
          <w:rFonts w:ascii="Times New Roman" w:hAnsi="Times New Roman" w:cs="Times New Roman"/>
          <w:lang w:val="en-US"/>
        </w:rPr>
      </w:pPr>
      <w:r>
        <w:rPr>
          <w:rFonts w:ascii="Times New Roman" w:hAnsi="Times New Roman" w:cs="Times New Roman"/>
          <w:lang w:val="en-US"/>
        </w:rPr>
        <w:t>Kuklys W. (</w:t>
      </w:r>
      <w:r w:rsidRPr="00530196">
        <w:rPr>
          <w:rFonts w:ascii="Times New Roman" w:hAnsi="Times New Roman" w:cs="Times New Roman"/>
          <w:lang w:val="en-US"/>
        </w:rPr>
        <w:t>2005</w:t>
      </w:r>
      <w:r>
        <w:rPr>
          <w:rFonts w:ascii="Times New Roman" w:hAnsi="Times New Roman" w:cs="Times New Roman"/>
          <w:lang w:val="en-US"/>
        </w:rPr>
        <w:t>).</w:t>
      </w:r>
      <w:r w:rsidRPr="00530196">
        <w:rPr>
          <w:rFonts w:ascii="Times New Roman" w:hAnsi="Times New Roman" w:cs="Times New Roman"/>
          <w:lang w:val="en-US"/>
        </w:rPr>
        <w:t xml:space="preserve"> Amartya Sen’s Capability Approach: Theoretical Insights and Empirical Applications</w:t>
      </w:r>
      <w:r>
        <w:rPr>
          <w:rFonts w:ascii="Times New Roman" w:hAnsi="Times New Roman" w:cs="Times New Roman"/>
          <w:lang w:val="en-US"/>
        </w:rPr>
        <w:t xml:space="preserve">. </w:t>
      </w:r>
      <w:r w:rsidRPr="00530196">
        <w:rPr>
          <w:rFonts w:ascii="Times New Roman" w:hAnsi="Times New Roman" w:cs="Times New Roman"/>
          <w:i/>
          <w:lang w:val="en-US"/>
        </w:rPr>
        <w:t>Studies in Choice and Welfare,</w:t>
      </w:r>
      <w:r w:rsidRPr="00530196">
        <w:rPr>
          <w:rFonts w:ascii="Times New Roman" w:hAnsi="Times New Roman" w:cs="Times New Roman"/>
          <w:lang w:val="en-US"/>
        </w:rPr>
        <w:t xml:space="preserve"> </w:t>
      </w:r>
      <w:r w:rsidRPr="008D44F3">
        <w:rPr>
          <w:rFonts w:ascii="Times New Roman" w:hAnsi="Times New Roman" w:cs="Times New Roman"/>
          <w:lang w:val="en-US"/>
        </w:rPr>
        <w:t>(</w:t>
      </w:r>
      <w:r>
        <w:rPr>
          <w:rFonts w:ascii="Times New Roman" w:hAnsi="Times New Roman" w:cs="Times New Roman"/>
          <w:lang w:val="en-US"/>
        </w:rPr>
        <w:t xml:space="preserve">Available at URL:  </w:t>
      </w:r>
      <w:r w:rsidRPr="00530196">
        <w:rPr>
          <w:rFonts w:ascii="Times New Roman" w:hAnsi="Times New Roman" w:cs="Times New Roman"/>
          <w:lang w:val="en-US"/>
        </w:rPr>
        <w:t>http://www.springer.com/la/book/9783540261988#otherversion=9783642065620</w:t>
      </w:r>
      <w:r w:rsidR="00B71A93">
        <w:rPr>
          <w:rFonts w:ascii="Times New Roman" w:hAnsi="Times New Roman" w:cs="Times New Roman"/>
          <w:lang w:val="en-US"/>
        </w:rPr>
        <w:t>)</w:t>
      </w:r>
    </w:p>
    <w:p w:rsidR="00B71A93" w:rsidRPr="00C27D56" w:rsidRDefault="007A5856" w:rsidP="00DE688E">
      <w:pPr>
        <w:pStyle w:val="Sinespaciado"/>
        <w:ind w:left="284" w:hanging="284"/>
        <w:rPr>
          <w:rFonts w:ascii="Times New Roman" w:hAnsi="Times New Roman" w:cs="Times New Roman"/>
        </w:rPr>
      </w:pPr>
      <w:r w:rsidRPr="00B71A93">
        <w:rPr>
          <w:rFonts w:ascii="Times New Roman" w:hAnsi="Times New Roman" w:cs="Times New Roman"/>
        </w:rPr>
        <w:t xml:space="preserve">Lyons, J. Q., Monterroza, A. M. N., &amp; Meza, M. I. (2016). </w:t>
      </w:r>
      <w:r w:rsidRPr="008D44F3">
        <w:rPr>
          <w:rFonts w:ascii="Times New Roman" w:hAnsi="Times New Roman" w:cs="Times New Roman"/>
        </w:rPr>
        <w:t>La figura del estado de cosas inconstitucionales como mecanismo de protección de los derechos fundamentales de la población vulnerable em Colombia. </w:t>
      </w:r>
      <w:r w:rsidRPr="008D44F3">
        <w:rPr>
          <w:rFonts w:ascii="Times New Roman" w:hAnsi="Times New Roman" w:cs="Times New Roman"/>
          <w:i/>
          <w:iCs/>
        </w:rPr>
        <w:t>Revista Jurídica Mario Alario D’Filippo</w:t>
      </w:r>
      <w:r w:rsidRPr="008D44F3">
        <w:rPr>
          <w:rFonts w:ascii="Times New Roman" w:hAnsi="Times New Roman" w:cs="Times New Roman"/>
        </w:rPr>
        <w:t>, 69-80.</w:t>
      </w:r>
      <w:r w:rsidR="00B71A93">
        <w:rPr>
          <w:rFonts w:ascii="Times New Roman" w:hAnsi="Times New Roman" w:cs="Times New Roman"/>
        </w:rPr>
        <w:t xml:space="preserve"> </w:t>
      </w:r>
      <w:r w:rsidR="00B71A93" w:rsidRPr="00C27D56">
        <w:rPr>
          <w:rFonts w:ascii="Times New Roman" w:hAnsi="Times New Roman" w:cs="Times New Roman"/>
        </w:rPr>
        <w:t>(Available at URL:  https://dialnet.unirioja.es/servlet/articulo?codigo=4767667)</w:t>
      </w:r>
    </w:p>
    <w:p w:rsidR="007A5856" w:rsidRPr="008D44F3" w:rsidRDefault="007A5856" w:rsidP="00DE688E">
      <w:pPr>
        <w:pStyle w:val="Sinespaciado"/>
        <w:ind w:left="284" w:hanging="284"/>
        <w:rPr>
          <w:rFonts w:ascii="Times New Roman" w:hAnsi="Times New Roman" w:cs="Times New Roman"/>
          <w:lang w:val="en-US"/>
        </w:rPr>
      </w:pPr>
      <w:r w:rsidRPr="00C27D56">
        <w:rPr>
          <w:rFonts w:ascii="Times New Roman" w:hAnsi="Times New Roman" w:cs="Times New Roman"/>
          <w:lang w:val="en-US"/>
        </w:rPr>
        <w:t xml:space="preserve">Malhotra, A., &amp; Schuler, S. R. (2005). </w:t>
      </w:r>
      <w:r w:rsidRPr="008D44F3">
        <w:rPr>
          <w:rFonts w:ascii="Times New Roman" w:hAnsi="Times New Roman" w:cs="Times New Roman"/>
          <w:lang w:val="en-US"/>
        </w:rPr>
        <w:t>Women’s empowerment as a variable in international development. </w:t>
      </w:r>
      <w:r w:rsidRPr="008D44F3">
        <w:rPr>
          <w:rFonts w:ascii="Times New Roman" w:hAnsi="Times New Roman" w:cs="Times New Roman"/>
          <w:i/>
          <w:iCs/>
          <w:lang w:val="en-US"/>
        </w:rPr>
        <w:t>Measuring empowerment: Cross-disciplinary perspectives</w:t>
      </w:r>
      <w:r w:rsidRPr="008D44F3">
        <w:rPr>
          <w:rFonts w:ascii="Times New Roman" w:hAnsi="Times New Roman" w:cs="Times New Roman"/>
          <w:lang w:val="en-US"/>
        </w:rPr>
        <w:t>, 71-88.</w:t>
      </w:r>
      <w:r w:rsidR="00EA414E" w:rsidRPr="00EA414E">
        <w:rPr>
          <w:rFonts w:ascii="Times New Roman" w:hAnsi="Times New Roman" w:cs="Times New Roman"/>
          <w:lang w:val="en-US"/>
        </w:rPr>
        <w:t xml:space="preserve"> </w:t>
      </w:r>
      <w:r w:rsidR="00EA414E" w:rsidRPr="008D44F3">
        <w:rPr>
          <w:rFonts w:ascii="Times New Roman" w:hAnsi="Times New Roman" w:cs="Times New Roman"/>
          <w:lang w:val="en-US"/>
        </w:rPr>
        <w:t xml:space="preserve">(Available at URL:   </w:t>
      </w:r>
      <w:hyperlink r:id="rId19" w:history="1">
        <w:r w:rsidR="00EA414E" w:rsidRPr="008D44F3">
          <w:rPr>
            <w:rStyle w:val="Hipervnculo"/>
            <w:rFonts w:ascii="Times New Roman" w:hAnsi="Times New Roman" w:cs="Times New Roman"/>
            <w:lang w:val="en-US"/>
          </w:rPr>
          <w:t>https://pdfs.semanticscholar.org/3884/dd80b9b88a18251a608d47ecda59b5a0f528.pdf</w:t>
        </w:r>
      </w:hyperlink>
      <w:r w:rsidR="00EA414E" w:rsidRPr="008D44F3">
        <w:rPr>
          <w:rFonts w:ascii="Times New Roman" w:hAnsi="Times New Roman" w:cs="Times New Roman"/>
          <w:lang w:val="en-US"/>
        </w:rPr>
        <w:t>).</w:t>
      </w:r>
    </w:p>
    <w:p w:rsidR="007A5856"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Mason, K. O., &amp; Smith, H. L. (2003). Women’s empowerment and social context: Results from five Asian countries. </w:t>
      </w:r>
      <w:r w:rsidRPr="008D44F3">
        <w:rPr>
          <w:rFonts w:ascii="Times New Roman" w:hAnsi="Times New Roman" w:cs="Times New Roman"/>
          <w:i/>
          <w:iCs/>
          <w:lang w:val="en-US"/>
        </w:rPr>
        <w:t>Gender and Development Group, World Bank, Washington, DC</w:t>
      </w:r>
      <w:r w:rsidRPr="008D44F3">
        <w:rPr>
          <w:rFonts w:ascii="Times New Roman" w:hAnsi="Times New Roman" w:cs="Times New Roman"/>
          <w:lang w:val="en-US"/>
        </w:rPr>
        <w:t>.</w:t>
      </w:r>
      <w:r w:rsidR="00BE60C2" w:rsidRPr="008D44F3">
        <w:rPr>
          <w:rFonts w:ascii="Times New Roman" w:hAnsi="Times New Roman" w:cs="Times New Roman"/>
          <w:lang w:val="en-US"/>
        </w:rPr>
        <w:t xml:space="preserve"> (Available at URL:   </w:t>
      </w:r>
      <w:hyperlink r:id="rId20" w:history="1">
        <w:r w:rsidR="00BE60C2" w:rsidRPr="008D44F3">
          <w:rPr>
            <w:rStyle w:val="Hipervnculo"/>
            <w:rFonts w:ascii="Times New Roman" w:hAnsi="Times New Roman" w:cs="Times New Roman"/>
            <w:lang w:val="en-US"/>
          </w:rPr>
          <w:t>https://pdfs.semanticscholar.org/6842/3faadedb45524c55263554bea269d2f4fb15.pdf</w:t>
        </w:r>
      </w:hyperlink>
      <w:r w:rsidR="00BE60C2" w:rsidRPr="008D44F3">
        <w:rPr>
          <w:rFonts w:ascii="Times New Roman" w:hAnsi="Times New Roman" w:cs="Times New Roman"/>
          <w:lang w:val="en-US"/>
        </w:rPr>
        <w:t>)</w:t>
      </w:r>
      <w:r w:rsidR="003D5166" w:rsidRPr="008D44F3">
        <w:rPr>
          <w:rFonts w:ascii="Times New Roman" w:hAnsi="Times New Roman" w:cs="Times New Roman"/>
          <w:lang w:val="en-US"/>
        </w:rPr>
        <w:t>.</w:t>
      </w:r>
    </w:p>
    <w:p w:rsidR="00B71A93"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Narayan</w:t>
      </w:r>
      <w:r w:rsidR="00EA414E">
        <w:rPr>
          <w:rFonts w:ascii="Times New Roman" w:hAnsi="Times New Roman" w:cs="Times New Roman"/>
          <w:lang w:val="en-US"/>
        </w:rPr>
        <w:t>,</w:t>
      </w:r>
      <w:r w:rsidRPr="008D44F3">
        <w:rPr>
          <w:rFonts w:ascii="Times New Roman" w:hAnsi="Times New Roman" w:cs="Times New Roman"/>
          <w:lang w:val="en-US"/>
        </w:rPr>
        <w:t xml:space="preserve"> </w:t>
      </w:r>
      <w:r w:rsidR="009E4CA5">
        <w:rPr>
          <w:rFonts w:ascii="Times New Roman" w:hAnsi="Times New Roman" w:cs="Times New Roman"/>
          <w:lang w:val="en-US"/>
        </w:rPr>
        <w:t xml:space="preserve">D. </w:t>
      </w:r>
      <w:r w:rsidRPr="008D44F3">
        <w:rPr>
          <w:rFonts w:ascii="Times New Roman" w:hAnsi="Times New Roman" w:cs="Times New Roman"/>
          <w:lang w:val="en-US"/>
        </w:rPr>
        <w:t>(2002). </w:t>
      </w:r>
      <w:r w:rsidRPr="008D44F3">
        <w:rPr>
          <w:rFonts w:ascii="Times New Roman" w:hAnsi="Times New Roman" w:cs="Times New Roman"/>
          <w:i/>
          <w:iCs/>
          <w:lang w:val="en-US"/>
        </w:rPr>
        <w:t>Empowerment and poverty reduction: A sourcebook</w:t>
      </w:r>
      <w:r w:rsidRPr="008D44F3">
        <w:rPr>
          <w:rFonts w:ascii="Times New Roman" w:hAnsi="Times New Roman" w:cs="Times New Roman"/>
          <w:lang w:val="en-US"/>
        </w:rPr>
        <w:t>. World Bank Publications.</w:t>
      </w:r>
      <w:r w:rsidR="00B71A93">
        <w:rPr>
          <w:rFonts w:ascii="Times New Roman" w:hAnsi="Times New Roman" w:cs="Times New Roman"/>
          <w:lang w:val="en-US"/>
        </w:rPr>
        <w:t xml:space="preserve">  (Available at URL: </w:t>
      </w:r>
      <w:r w:rsidR="00B71A93" w:rsidRPr="00B71A93">
        <w:rPr>
          <w:rFonts w:ascii="Times New Roman" w:hAnsi="Times New Roman" w:cs="Times New Roman"/>
          <w:lang w:val="en-US"/>
        </w:rPr>
        <w:t>https://openknowledge.worldbank.org/handle/10986/15239</w:t>
      </w:r>
      <w:r w:rsidR="00B71A93">
        <w:rPr>
          <w:rFonts w:ascii="Times New Roman" w:hAnsi="Times New Roman" w:cs="Times New Roman"/>
          <w:lang w:val="en-US"/>
        </w:rPr>
        <w:t>)</w:t>
      </w:r>
    </w:p>
    <w:p w:rsidR="007A5856"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Nussbaum, M. C. (2001). </w:t>
      </w:r>
      <w:r w:rsidRPr="008D44F3">
        <w:rPr>
          <w:rFonts w:ascii="Times New Roman" w:hAnsi="Times New Roman" w:cs="Times New Roman"/>
          <w:i/>
          <w:iCs/>
          <w:lang w:val="en-US"/>
        </w:rPr>
        <w:t>Women and human development: The capabilities approach</w:t>
      </w:r>
      <w:r w:rsidRPr="008D44F3">
        <w:rPr>
          <w:rFonts w:ascii="Times New Roman" w:hAnsi="Times New Roman" w:cs="Times New Roman"/>
          <w:lang w:val="en-US"/>
        </w:rPr>
        <w:t> (Vol. 3). Cambridge University Press.</w:t>
      </w:r>
    </w:p>
    <w:p w:rsidR="007A5856"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lastRenderedPageBreak/>
        <w:t>Oakley, P. (Ed.). (2001). </w:t>
      </w:r>
      <w:r w:rsidRPr="008D44F3">
        <w:rPr>
          <w:rFonts w:ascii="Times New Roman" w:hAnsi="Times New Roman" w:cs="Times New Roman"/>
          <w:i/>
          <w:iCs/>
          <w:lang w:val="en-US"/>
        </w:rPr>
        <w:t>Evaluating Empowerment: Reviewing the concept and practice</w:t>
      </w:r>
      <w:r w:rsidRPr="008D44F3">
        <w:rPr>
          <w:rFonts w:ascii="Times New Roman" w:hAnsi="Times New Roman" w:cs="Times New Roman"/>
          <w:lang w:val="en-US"/>
        </w:rPr>
        <w:t>. Oxford: Intrac.</w:t>
      </w:r>
    </w:p>
    <w:p w:rsidR="007A5856"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Robeyns, I. (2000). An unworkable idea or a promising alternative?: Sen's capability approach re-examined.</w:t>
      </w:r>
      <w:r w:rsidR="00230050">
        <w:rPr>
          <w:rFonts w:ascii="Times New Roman" w:hAnsi="Times New Roman" w:cs="Times New Roman"/>
          <w:lang w:val="en-US"/>
        </w:rPr>
        <w:t xml:space="preserve"> (Available at URL: </w:t>
      </w:r>
      <w:hyperlink r:id="rId21" w:history="1">
        <w:r w:rsidR="00230050" w:rsidRPr="007621FE">
          <w:rPr>
            <w:rStyle w:val="Hipervnculo"/>
            <w:rFonts w:ascii="Times New Roman" w:hAnsi="Times New Roman" w:cs="Times New Roman"/>
            <w:lang w:val="en-US"/>
          </w:rPr>
          <w:t>https://feb.kuleuven.be/drc/Economics/research/dps-papers/dps00/dps0030.pdf</w:t>
        </w:r>
      </w:hyperlink>
      <w:r w:rsidR="00BE60C2" w:rsidRPr="008D44F3">
        <w:rPr>
          <w:rFonts w:ascii="Times New Roman" w:hAnsi="Times New Roman" w:cs="Times New Roman"/>
          <w:lang w:val="en-US"/>
        </w:rPr>
        <w:t>)</w:t>
      </w:r>
      <w:r w:rsidR="003D5166" w:rsidRPr="008D44F3">
        <w:rPr>
          <w:rFonts w:ascii="Times New Roman" w:hAnsi="Times New Roman" w:cs="Times New Roman"/>
          <w:lang w:val="en-US"/>
        </w:rPr>
        <w:t>.</w:t>
      </w:r>
    </w:p>
    <w:p w:rsidR="007A5856" w:rsidRDefault="0034353F" w:rsidP="00DE688E">
      <w:pPr>
        <w:pStyle w:val="Sinespaciado"/>
        <w:ind w:left="284" w:hanging="284"/>
        <w:rPr>
          <w:rFonts w:ascii="Times New Roman" w:hAnsi="Times New Roman" w:cs="Times New Roman"/>
          <w:lang w:val="en-US"/>
        </w:rPr>
      </w:pPr>
      <w:r>
        <w:rPr>
          <w:rFonts w:ascii="Times New Roman" w:hAnsi="Times New Roman" w:cs="Times New Roman"/>
          <w:lang w:val="en-US"/>
        </w:rPr>
        <w:t>Robeyns, I. (2003).</w:t>
      </w:r>
      <w:r w:rsidR="007A5856" w:rsidRPr="008D44F3">
        <w:rPr>
          <w:rFonts w:ascii="Times New Roman" w:hAnsi="Times New Roman" w:cs="Times New Roman"/>
          <w:lang w:val="en-US"/>
        </w:rPr>
        <w:t>Sen's Capability Approach and Gender Inequality: S</w:t>
      </w:r>
      <w:r>
        <w:rPr>
          <w:rFonts w:ascii="Times New Roman" w:hAnsi="Times New Roman" w:cs="Times New Roman"/>
          <w:lang w:val="en-US"/>
        </w:rPr>
        <w:t>electing Relevant Capabilities,</w:t>
      </w:r>
      <w:r w:rsidR="007A5856" w:rsidRPr="008D44F3">
        <w:rPr>
          <w:rFonts w:ascii="Times New Roman" w:hAnsi="Times New Roman" w:cs="Times New Roman"/>
          <w:lang w:val="en-US"/>
        </w:rPr>
        <w:t> </w:t>
      </w:r>
      <w:r w:rsidR="007A5856" w:rsidRPr="008D44F3">
        <w:rPr>
          <w:rFonts w:ascii="Times New Roman" w:hAnsi="Times New Roman" w:cs="Times New Roman"/>
          <w:i/>
          <w:iCs/>
          <w:lang w:val="en-US"/>
        </w:rPr>
        <w:t>Feminist Economics</w:t>
      </w:r>
      <w:r w:rsidR="007A5856" w:rsidRPr="008D44F3">
        <w:rPr>
          <w:rFonts w:ascii="Times New Roman" w:hAnsi="Times New Roman" w:cs="Times New Roman"/>
          <w:lang w:val="en-US"/>
        </w:rPr>
        <w:t>, 9(2/3): 61–92.</w:t>
      </w:r>
      <w:r w:rsidR="009252C7">
        <w:rPr>
          <w:rFonts w:ascii="Times New Roman" w:hAnsi="Times New Roman" w:cs="Times New Roman"/>
          <w:lang w:val="en-US"/>
        </w:rPr>
        <w:t xml:space="preserve"> </w:t>
      </w:r>
      <w:hyperlink r:id="rId22" w:history="1">
        <w:r w:rsidR="009252C7" w:rsidRPr="00E92C4E">
          <w:rPr>
            <w:rStyle w:val="Hipervnculo"/>
            <w:rFonts w:ascii="Times New Roman" w:hAnsi="Times New Roman" w:cs="Times New Roman"/>
            <w:lang w:val="en-US"/>
          </w:rPr>
          <w:t>https://doi.org/10.1080/1354570022000078024</w:t>
        </w:r>
      </w:hyperlink>
    </w:p>
    <w:p w:rsidR="009252C7" w:rsidRPr="008D44F3" w:rsidRDefault="00EA414E" w:rsidP="00DE688E">
      <w:pPr>
        <w:pStyle w:val="Sinespaciado"/>
        <w:ind w:left="284" w:hanging="284"/>
        <w:rPr>
          <w:rFonts w:ascii="Times New Roman" w:hAnsi="Times New Roman" w:cs="Times New Roman"/>
          <w:lang w:val="en-US"/>
        </w:rPr>
      </w:pPr>
      <w:r>
        <w:rPr>
          <w:rFonts w:ascii="Times New Roman" w:hAnsi="Times New Roman" w:cs="Times New Roman"/>
          <w:lang w:val="en-US"/>
        </w:rPr>
        <w:t>Robeyns, I</w:t>
      </w:r>
      <w:r w:rsidR="0034353F" w:rsidRPr="0034353F">
        <w:rPr>
          <w:rFonts w:ascii="Times New Roman" w:hAnsi="Times New Roman" w:cs="Times New Roman"/>
          <w:lang w:val="en-US"/>
        </w:rPr>
        <w:t xml:space="preserve">. </w:t>
      </w:r>
      <w:r>
        <w:rPr>
          <w:rFonts w:ascii="Times New Roman" w:hAnsi="Times New Roman" w:cs="Times New Roman"/>
          <w:lang w:val="en-US"/>
        </w:rPr>
        <w:t>(</w:t>
      </w:r>
      <w:r w:rsidR="0034353F" w:rsidRPr="0034353F">
        <w:rPr>
          <w:rFonts w:ascii="Times New Roman" w:hAnsi="Times New Roman" w:cs="Times New Roman"/>
          <w:lang w:val="en-US"/>
        </w:rPr>
        <w:t>2004</w:t>
      </w:r>
      <w:r>
        <w:rPr>
          <w:rFonts w:ascii="Times New Roman" w:hAnsi="Times New Roman" w:cs="Times New Roman"/>
          <w:lang w:val="en-US"/>
        </w:rPr>
        <w:t>)</w:t>
      </w:r>
      <w:r w:rsidR="0034353F" w:rsidRPr="0034353F">
        <w:rPr>
          <w:rFonts w:ascii="Times New Roman" w:hAnsi="Times New Roman" w:cs="Times New Roman"/>
          <w:lang w:val="en-US"/>
        </w:rPr>
        <w:t xml:space="preserve">. Justice as fairness and the capability approach. Paper read at the Fourth International Conference on the Capability Approach: Enhancing Human Security. September 5–7, Pavia, Italy. </w:t>
      </w:r>
      <w:r w:rsidR="0034353F">
        <w:rPr>
          <w:lang w:val="en-US"/>
        </w:rPr>
        <w:t>(</w:t>
      </w:r>
      <w:r w:rsidR="0034353F">
        <w:rPr>
          <w:rFonts w:ascii="Times New Roman" w:hAnsi="Times New Roman" w:cs="Times New Roman"/>
          <w:lang w:val="en-US"/>
        </w:rPr>
        <w:t xml:space="preserve">Available at URL: </w:t>
      </w:r>
      <w:r w:rsidR="0034353F" w:rsidRPr="0034353F">
        <w:rPr>
          <w:rFonts w:ascii="Times New Roman" w:hAnsi="Times New Roman" w:cs="Times New Roman"/>
          <w:lang w:val="en-US"/>
        </w:rPr>
        <w:t>https://www.academia.edu/621272/Justice_as_fairness_and_the_capability_approach</w:t>
      </w:r>
      <w:r w:rsidR="0034353F">
        <w:rPr>
          <w:rFonts w:ascii="Times New Roman" w:hAnsi="Times New Roman" w:cs="Times New Roman"/>
          <w:lang w:val="en-US"/>
        </w:rPr>
        <w:t>)</w:t>
      </w:r>
      <w:r w:rsidR="00CC30A8">
        <w:rPr>
          <w:rFonts w:ascii="Times New Roman" w:hAnsi="Times New Roman" w:cs="Times New Roman"/>
          <w:lang w:val="en-US"/>
        </w:rPr>
        <w:t>.</w:t>
      </w:r>
    </w:p>
    <w:p w:rsidR="009252C7"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Robeyns, I. (2005). The capability approach: a theoretical survey. </w:t>
      </w:r>
      <w:r w:rsidRPr="008D44F3">
        <w:rPr>
          <w:rFonts w:ascii="Times New Roman" w:hAnsi="Times New Roman" w:cs="Times New Roman"/>
          <w:i/>
          <w:iCs/>
          <w:lang w:val="en-US"/>
        </w:rPr>
        <w:t>Journal of human development</w:t>
      </w:r>
      <w:r w:rsidRPr="008D44F3">
        <w:rPr>
          <w:rFonts w:ascii="Times New Roman" w:hAnsi="Times New Roman" w:cs="Times New Roman"/>
          <w:lang w:val="en-US"/>
        </w:rPr>
        <w:t>, </w:t>
      </w:r>
      <w:r w:rsidRPr="008D44F3">
        <w:rPr>
          <w:rFonts w:ascii="Times New Roman" w:hAnsi="Times New Roman" w:cs="Times New Roman"/>
          <w:i/>
          <w:iCs/>
          <w:lang w:val="en-US"/>
        </w:rPr>
        <w:t>6</w:t>
      </w:r>
      <w:r w:rsidRPr="008D44F3">
        <w:rPr>
          <w:rFonts w:ascii="Times New Roman" w:hAnsi="Times New Roman" w:cs="Times New Roman"/>
          <w:lang w:val="en-US"/>
        </w:rPr>
        <w:t>(1), 93-117.</w:t>
      </w:r>
      <w:r w:rsidR="009252C7">
        <w:rPr>
          <w:rFonts w:ascii="Times New Roman" w:hAnsi="Times New Roman" w:cs="Times New Roman"/>
          <w:lang w:val="en-US"/>
        </w:rPr>
        <w:t xml:space="preserve"> </w:t>
      </w:r>
      <w:r w:rsidR="00CC30A8">
        <w:rPr>
          <w:rFonts w:ascii="Times New Roman" w:hAnsi="Times New Roman" w:cs="Times New Roman"/>
          <w:lang w:val="en-US"/>
        </w:rPr>
        <w:t xml:space="preserve"> </w:t>
      </w:r>
      <w:hyperlink r:id="rId23" w:history="1">
        <w:r w:rsidR="00CC30A8" w:rsidRPr="00E92C4E">
          <w:rPr>
            <w:rStyle w:val="Hipervnculo"/>
            <w:rFonts w:ascii="Times New Roman" w:hAnsi="Times New Roman" w:cs="Times New Roman"/>
            <w:lang w:val="en-US"/>
          </w:rPr>
          <w:t>https://doi.org/10.1080/146498805200034266</w:t>
        </w:r>
      </w:hyperlink>
    </w:p>
    <w:p w:rsidR="009252C7"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Robeyns, I. (2011). The capability approach. </w:t>
      </w:r>
      <w:r w:rsidRPr="008D44F3">
        <w:rPr>
          <w:rFonts w:ascii="Times New Roman" w:hAnsi="Times New Roman" w:cs="Times New Roman"/>
          <w:i/>
          <w:iCs/>
          <w:lang w:val="en-US"/>
        </w:rPr>
        <w:t>Handbook of economics and ethics</w:t>
      </w:r>
      <w:r w:rsidRPr="008D44F3">
        <w:rPr>
          <w:rFonts w:ascii="Times New Roman" w:hAnsi="Times New Roman" w:cs="Times New Roman"/>
          <w:lang w:val="en-US"/>
        </w:rPr>
        <w:t>, 39.</w:t>
      </w:r>
      <w:r w:rsidR="003D5166" w:rsidRPr="008D44F3">
        <w:rPr>
          <w:rFonts w:ascii="Times New Roman" w:hAnsi="Times New Roman" w:cs="Times New Roman"/>
          <w:lang w:val="en-US"/>
        </w:rPr>
        <w:t xml:space="preserve"> (Available at URL: </w:t>
      </w:r>
      <w:hyperlink r:id="rId24" w:history="1">
        <w:r w:rsidR="003D5166" w:rsidRPr="008D44F3">
          <w:rPr>
            <w:rStyle w:val="Hipervnculo"/>
            <w:rFonts w:ascii="Times New Roman" w:hAnsi="Times New Roman" w:cs="Times New Roman"/>
            <w:lang w:val="en-US"/>
          </w:rPr>
          <w:t>https://seop.illc.uva.nl/entries/capability-approach/</w:t>
        </w:r>
      </w:hyperlink>
      <w:r w:rsidR="003D5166" w:rsidRPr="008D44F3">
        <w:rPr>
          <w:rFonts w:ascii="Times New Roman" w:hAnsi="Times New Roman" w:cs="Times New Roman"/>
          <w:lang w:val="en-US"/>
        </w:rPr>
        <w:t>).</w:t>
      </w:r>
    </w:p>
    <w:p w:rsidR="009252C7"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Robeyns, I. (2016). Capabilitarianism. </w:t>
      </w:r>
      <w:r w:rsidRPr="008D44F3">
        <w:rPr>
          <w:rFonts w:ascii="Times New Roman" w:hAnsi="Times New Roman" w:cs="Times New Roman"/>
          <w:i/>
          <w:iCs/>
          <w:lang w:val="en-US"/>
        </w:rPr>
        <w:t>Journal of Human Development and Capabilities</w:t>
      </w:r>
      <w:r w:rsidRPr="008D44F3">
        <w:rPr>
          <w:rFonts w:ascii="Times New Roman" w:hAnsi="Times New Roman" w:cs="Times New Roman"/>
          <w:lang w:val="en-US"/>
        </w:rPr>
        <w:t>, </w:t>
      </w:r>
      <w:r w:rsidRPr="008D44F3">
        <w:rPr>
          <w:rFonts w:ascii="Times New Roman" w:hAnsi="Times New Roman" w:cs="Times New Roman"/>
          <w:i/>
          <w:iCs/>
          <w:lang w:val="en-US"/>
        </w:rPr>
        <w:t>17</w:t>
      </w:r>
      <w:r w:rsidRPr="008D44F3">
        <w:rPr>
          <w:rFonts w:ascii="Times New Roman" w:hAnsi="Times New Roman" w:cs="Times New Roman"/>
          <w:lang w:val="en-US"/>
        </w:rPr>
        <w:t>(3), 397-414.</w:t>
      </w:r>
      <w:r w:rsidR="009252C7">
        <w:rPr>
          <w:rFonts w:ascii="Times New Roman" w:hAnsi="Times New Roman" w:cs="Times New Roman"/>
          <w:lang w:val="en-US"/>
        </w:rPr>
        <w:t xml:space="preserve"> </w:t>
      </w:r>
      <w:hyperlink r:id="rId25" w:history="1">
        <w:r w:rsidR="009252C7" w:rsidRPr="00E92C4E">
          <w:rPr>
            <w:rStyle w:val="Hipervnculo"/>
            <w:rFonts w:ascii="Times New Roman" w:hAnsi="Times New Roman" w:cs="Times New Roman"/>
            <w:lang w:val="en-US"/>
          </w:rPr>
          <w:t>https://doi.org/10.1080/19452829.2016.1145631</w:t>
        </w:r>
      </w:hyperlink>
    </w:p>
    <w:p w:rsidR="0034353F" w:rsidRPr="00C27D56" w:rsidRDefault="007A5856" w:rsidP="00DE688E">
      <w:pPr>
        <w:pStyle w:val="Sinespaciado"/>
        <w:ind w:left="284" w:hanging="284"/>
        <w:rPr>
          <w:rFonts w:ascii="Times New Roman" w:hAnsi="Times New Roman" w:cs="Times New Roman"/>
        </w:rPr>
      </w:pPr>
      <w:r w:rsidRPr="008D44F3">
        <w:rPr>
          <w:rFonts w:ascii="Times New Roman" w:hAnsi="Times New Roman" w:cs="Times New Roman"/>
          <w:lang w:val="en-US"/>
        </w:rPr>
        <w:t xml:space="preserve">Robinson, J. A. (2015). </w:t>
      </w:r>
      <w:r w:rsidRPr="00A5696D">
        <w:rPr>
          <w:rFonts w:ascii="Times New Roman" w:hAnsi="Times New Roman" w:cs="Times New Roman"/>
          <w:lang w:val="en-US"/>
        </w:rPr>
        <w:t>The misery in Colombia. </w:t>
      </w:r>
      <w:r w:rsidRPr="008D44F3">
        <w:rPr>
          <w:rFonts w:ascii="Times New Roman" w:hAnsi="Times New Roman" w:cs="Times New Roman"/>
          <w:i/>
          <w:iCs/>
        </w:rPr>
        <w:t>Desarrollo y Sociedad</w:t>
      </w:r>
      <w:r w:rsidRPr="008D44F3">
        <w:rPr>
          <w:rFonts w:ascii="Times New Roman" w:hAnsi="Times New Roman" w:cs="Times New Roman"/>
        </w:rPr>
        <w:t>, (76), 9-90.</w:t>
      </w:r>
      <w:r w:rsidR="0034353F">
        <w:rPr>
          <w:rFonts w:ascii="Times New Roman" w:hAnsi="Times New Roman" w:cs="Times New Roman"/>
        </w:rPr>
        <w:t xml:space="preserve"> </w:t>
      </w:r>
      <w:r w:rsidR="0034353F" w:rsidRPr="00C27D56">
        <w:t>(</w:t>
      </w:r>
      <w:r w:rsidR="0034353F" w:rsidRPr="00C27D56">
        <w:rPr>
          <w:rFonts w:ascii="Times New Roman" w:hAnsi="Times New Roman" w:cs="Times New Roman"/>
        </w:rPr>
        <w:t xml:space="preserve">Available at URL: </w:t>
      </w:r>
      <w:hyperlink r:id="rId26" w:history="1">
        <w:r w:rsidR="0034353F" w:rsidRPr="00C27D56">
          <w:rPr>
            <w:rStyle w:val="Hipervnculo"/>
            <w:rFonts w:ascii="Times New Roman" w:hAnsi="Times New Roman" w:cs="Times New Roman"/>
          </w:rPr>
          <w:t>http://www.scielo.org.co/pdf/dys/n76/n76a02.pdf</w:t>
        </w:r>
      </w:hyperlink>
      <w:r w:rsidR="0034353F" w:rsidRPr="00C27D56">
        <w:rPr>
          <w:rFonts w:ascii="Times New Roman" w:hAnsi="Times New Roman" w:cs="Times New Roman"/>
        </w:rPr>
        <w:t>)</w:t>
      </w:r>
    </w:p>
    <w:p w:rsidR="009252C7" w:rsidRPr="008D44F3" w:rsidRDefault="007A5856" w:rsidP="00DE688E">
      <w:pPr>
        <w:pStyle w:val="Sinespaciado"/>
        <w:ind w:left="284" w:hanging="284"/>
        <w:rPr>
          <w:rFonts w:ascii="Times New Roman" w:hAnsi="Times New Roman" w:cs="Times New Roman"/>
          <w:lang w:val="en-US"/>
        </w:rPr>
      </w:pPr>
      <w:r w:rsidRPr="00C27D56">
        <w:rPr>
          <w:rFonts w:ascii="Times New Roman" w:hAnsi="Times New Roman" w:cs="Times New Roman"/>
          <w:lang w:val="en-US"/>
        </w:rPr>
        <w:t>Rowlands, J. (1997). </w:t>
      </w:r>
      <w:r w:rsidRPr="008D44F3">
        <w:rPr>
          <w:rFonts w:ascii="Times New Roman" w:hAnsi="Times New Roman" w:cs="Times New Roman"/>
          <w:i/>
          <w:iCs/>
          <w:lang w:val="en-US"/>
        </w:rPr>
        <w:t>Questioning empowerment: Working with women in Honduras</w:t>
      </w:r>
      <w:r w:rsidRPr="008D44F3">
        <w:rPr>
          <w:rFonts w:ascii="Times New Roman" w:hAnsi="Times New Roman" w:cs="Times New Roman"/>
          <w:lang w:val="en-US"/>
        </w:rPr>
        <w:t>. Oxfam.</w:t>
      </w:r>
      <w:r w:rsidR="009252C7">
        <w:rPr>
          <w:rFonts w:ascii="Times New Roman" w:hAnsi="Times New Roman" w:cs="Times New Roman"/>
          <w:lang w:val="en-US"/>
        </w:rPr>
        <w:t xml:space="preserve"> </w:t>
      </w:r>
      <w:hyperlink r:id="rId27" w:history="1">
        <w:r w:rsidR="009252C7" w:rsidRPr="00E92C4E">
          <w:rPr>
            <w:rStyle w:val="Hipervnculo"/>
            <w:rFonts w:ascii="Times New Roman" w:hAnsi="Times New Roman" w:cs="Times New Roman"/>
            <w:lang w:val="en-US"/>
          </w:rPr>
          <w:t>https://doi.org/10.3362/9780855988364</w:t>
        </w:r>
      </w:hyperlink>
    </w:p>
    <w:p w:rsidR="00EA3C67" w:rsidRPr="008D44F3" w:rsidRDefault="00EA3C67" w:rsidP="00DE688E">
      <w:pPr>
        <w:pStyle w:val="Sinespaciado"/>
        <w:ind w:left="284" w:hanging="284"/>
        <w:rPr>
          <w:rFonts w:ascii="Times New Roman" w:hAnsi="Times New Roman" w:cs="Times New Roman"/>
          <w:lang w:val="en-US"/>
        </w:rPr>
      </w:pPr>
      <w:r>
        <w:rPr>
          <w:rFonts w:ascii="Times New Roman" w:hAnsi="Times New Roman" w:cs="Times New Roman"/>
          <w:lang w:val="en-US"/>
        </w:rPr>
        <w:t>Sen, A</w:t>
      </w:r>
      <w:r w:rsidRPr="00EA3C67">
        <w:rPr>
          <w:rFonts w:ascii="Times New Roman" w:hAnsi="Times New Roman" w:cs="Times New Roman"/>
          <w:lang w:val="en-US"/>
        </w:rPr>
        <w:t xml:space="preserve">. </w:t>
      </w:r>
      <w:r>
        <w:rPr>
          <w:rFonts w:ascii="Times New Roman" w:hAnsi="Times New Roman" w:cs="Times New Roman"/>
          <w:lang w:val="en-US"/>
        </w:rPr>
        <w:t>(</w:t>
      </w:r>
      <w:r w:rsidR="00A278C9">
        <w:rPr>
          <w:rFonts w:ascii="Times New Roman" w:hAnsi="Times New Roman" w:cs="Times New Roman"/>
          <w:lang w:val="en-US"/>
        </w:rPr>
        <w:t>1979</w:t>
      </w:r>
      <w:r>
        <w:rPr>
          <w:rFonts w:ascii="Times New Roman" w:hAnsi="Times New Roman" w:cs="Times New Roman"/>
          <w:lang w:val="en-US"/>
        </w:rPr>
        <w:t>)</w:t>
      </w:r>
      <w:r w:rsidRPr="00EA3C67">
        <w:rPr>
          <w:rFonts w:ascii="Times New Roman" w:hAnsi="Times New Roman" w:cs="Times New Roman"/>
          <w:lang w:val="en-US"/>
        </w:rPr>
        <w:t>.</w:t>
      </w:r>
      <w:r>
        <w:rPr>
          <w:rFonts w:ascii="Times New Roman" w:hAnsi="Times New Roman" w:cs="Times New Roman"/>
          <w:lang w:val="en-US"/>
        </w:rPr>
        <w:t xml:space="preserve"> </w:t>
      </w:r>
      <w:r w:rsidRPr="00EA3C67">
        <w:rPr>
          <w:rFonts w:ascii="Times New Roman" w:hAnsi="Times New Roman" w:cs="Times New Roman"/>
          <w:lang w:val="en-US"/>
        </w:rPr>
        <w:t xml:space="preserve">Equality of What? In S. M. McMurrin (ed.) </w:t>
      </w:r>
      <w:r w:rsidRPr="00A278C9">
        <w:rPr>
          <w:rFonts w:ascii="Times New Roman" w:hAnsi="Times New Roman" w:cs="Times New Roman"/>
          <w:i/>
          <w:lang w:val="en-US"/>
        </w:rPr>
        <w:t>Tanner Lectures on Human Values</w:t>
      </w:r>
      <w:r w:rsidRPr="00EA3C67">
        <w:rPr>
          <w:rFonts w:ascii="Times New Roman" w:hAnsi="Times New Roman" w:cs="Times New Roman"/>
          <w:lang w:val="en-US"/>
        </w:rPr>
        <w:t>.</w:t>
      </w:r>
      <w:r w:rsidR="00EC7F2A" w:rsidRPr="00EC7F2A">
        <w:rPr>
          <w:lang w:val="en-US"/>
        </w:rPr>
        <w:t xml:space="preserve"> </w:t>
      </w:r>
      <w:r w:rsidR="00EC7F2A" w:rsidRPr="00EC7F2A">
        <w:rPr>
          <w:rFonts w:ascii="Times New Roman" w:hAnsi="Times New Roman" w:cs="Times New Roman"/>
          <w:lang w:val="en-US"/>
        </w:rPr>
        <w:t>Stanford University</w:t>
      </w:r>
      <w:r w:rsidR="00EC7F2A">
        <w:rPr>
          <w:rFonts w:ascii="Times New Roman" w:hAnsi="Times New Roman" w:cs="Times New Roman"/>
          <w:lang w:val="en-US"/>
        </w:rPr>
        <w:t xml:space="preserve">. </w:t>
      </w:r>
      <w:r w:rsidRPr="008D44F3">
        <w:rPr>
          <w:rFonts w:ascii="Times New Roman" w:hAnsi="Times New Roman" w:cs="Times New Roman"/>
          <w:lang w:val="en-US"/>
        </w:rPr>
        <w:t xml:space="preserve">(Available at URL: </w:t>
      </w:r>
      <w:hyperlink r:id="rId28" w:history="1">
        <w:r w:rsidRPr="00E92C4E">
          <w:rPr>
            <w:rStyle w:val="Hipervnculo"/>
            <w:rFonts w:ascii="Times New Roman" w:hAnsi="Times New Roman" w:cs="Times New Roman"/>
            <w:lang w:val="en-US"/>
          </w:rPr>
          <w:t>http://www.ophi.org.uk/wp-content/uploads/Sen-1979_Equality-of-What.pdf</w:t>
        </w:r>
      </w:hyperlink>
      <w:r>
        <w:rPr>
          <w:rFonts w:ascii="Times New Roman" w:hAnsi="Times New Roman" w:cs="Times New Roman"/>
          <w:lang w:val="en-US"/>
        </w:rPr>
        <w:t>)</w:t>
      </w:r>
    </w:p>
    <w:p w:rsidR="007A5856"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Sen, A. (1981). </w:t>
      </w:r>
      <w:r w:rsidRPr="008D44F3">
        <w:rPr>
          <w:rFonts w:ascii="Times New Roman" w:hAnsi="Times New Roman" w:cs="Times New Roman"/>
          <w:i/>
          <w:iCs/>
          <w:lang w:val="en-US"/>
        </w:rPr>
        <w:t>Poverty and famines: an essay on entitlement and deprivation</w:t>
      </w:r>
      <w:r w:rsidRPr="008D44F3">
        <w:rPr>
          <w:rFonts w:ascii="Times New Roman" w:hAnsi="Times New Roman" w:cs="Times New Roman"/>
          <w:lang w:val="en-US"/>
        </w:rPr>
        <w:t>. Oxford university press.</w:t>
      </w:r>
      <w:r w:rsidR="00E13515">
        <w:rPr>
          <w:rFonts w:ascii="Times New Roman" w:hAnsi="Times New Roman" w:cs="Times New Roman"/>
          <w:lang w:val="en-US"/>
        </w:rPr>
        <w:t xml:space="preserve"> (Available at URL</w:t>
      </w:r>
      <w:r w:rsidR="003D5166" w:rsidRPr="008D44F3">
        <w:rPr>
          <w:rFonts w:ascii="Times New Roman" w:hAnsi="Times New Roman" w:cs="Times New Roman"/>
          <w:lang w:val="en-US"/>
        </w:rPr>
        <w:t xml:space="preserve">: </w:t>
      </w:r>
      <w:hyperlink r:id="rId29" w:anchor="page=214" w:history="1">
        <w:r w:rsidR="003D5166" w:rsidRPr="008D44F3">
          <w:rPr>
            <w:rStyle w:val="Hipervnculo"/>
            <w:rFonts w:ascii="Times New Roman" w:hAnsi="Times New Roman" w:cs="Times New Roman"/>
            <w:lang w:val="en-US"/>
          </w:rPr>
          <w:t>http://documents.worldbank.org/curated/en/891971468740987036/pdf/multi-page.pdf#page=214</w:t>
        </w:r>
      </w:hyperlink>
      <w:r w:rsidR="003D5166" w:rsidRPr="008D44F3">
        <w:rPr>
          <w:rFonts w:ascii="Times New Roman" w:hAnsi="Times New Roman" w:cs="Times New Roman"/>
          <w:lang w:val="en-US"/>
        </w:rPr>
        <w:t>).</w:t>
      </w:r>
    </w:p>
    <w:p w:rsidR="007A5856"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 xml:space="preserve">Sen, A. (1985). </w:t>
      </w:r>
      <w:r w:rsidRPr="008D44F3">
        <w:rPr>
          <w:rFonts w:ascii="Times New Roman" w:hAnsi="Times New Roman" w:cs="Times New Roman"/>
          <w:i/>
          <w:iCs/>
          <w:lang w:val="en-US"/>
        </w:rPr>
        <w:t>Commodities and Capabilities</w:t>
      </w:r>
      <w:r w:rsidRPr="008D44F3">
        <w:rPr>
          <w:rFonts w:ascii="Times New Roman" w:hAnsi="Times New Roman" w:cs="Times New Roman"/>
          <w:lang w:val="en-US"/>
        </w:rPr>
        <w:t xml:space="preserve">. </w:t>
      </w:r>
      <w:r w:rsidR="00EC7F2A" w:rsidRPr="00C27D56">
        <w:rPr>
          <w:rFonts w:ascii="Times New Roman" w:hAnsi="Times New Roman" w:cs="Times New Roman"/>
          <w:iCs/>
          <w:lang w:val="en-US"/>
        </w:rPr>
        <w:t>Amsterdam, North Holland.</w:t>
      </w:r>
      <w:r w:rsidRPr="008D44F3">
        <w:rPr>
          <w:rFonts w:ascii="Times New Roman" w:hAnsi="Times New Roman" w:cs="Times New Roman"/>
          <w:lang w:val="en-US"/>
        </w:rPr>
        <w:t xml:space="preserve">   </w:t>
      </w:r>
    </w:p>
    <w:p w:rsidR="009252C7"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Sen, A. (1985a). Well-being, agency and freedom: The Dewey lectures 1984. </w:t>
      </w:r>
      <w:r w:rsidRPr="008D44F3">
        <w:rPr>
          <w:rFonts w:ascii="Times New Roman" w:hAnsi="Times New Roman" w:cs="Times New Roman"/>
          <w:i/>
          <w:iCs/>
          <w:lang w:val="en-US"/>
        </w:rPr>
        <w:t>The journal of philosophy</w:t>
      </w:r>
      <w:r w:rsidRPr="008D44F3">
        <w:rPr>
          <w:rFonts w:ascii="Times New Roman" w:hAnsi="Times New Roman" w:cs="Times New Roman"/>
          <w:lang w:val="en-US"/>
        </w:rPr>
        <w:t>, </w:t>
      </w:r>
      <w:r w:rsidRPr="008D44F3">
        <w:rPr>
          <w:rFonts w:ascii="Times New Roman" w:hAnsi="Times New Roman" w:cs="Times New Roman"/>
          <w:i/>
          <w:iCs/>
          <w:lang w:val="en-US"/>
        </w:rPr>
        <w:t>82</w:t>
      </w:r>
      <w:r w:rsidRPr="008D44F3">
        <w:rPr>
          <w:rFonts w:ascii="Times New Roman" w:hAnsi="Times New Roman" w:cs="Times New Roman"/>
          <w:lang w:val="en-US"/>
        </w:rPr>
        <w:t>(4), 169-221.</w:t>
      </w:r>
      <w:r w:rsidR="009252C7" w:rsidRPr="00C27D56">
        <w:rPr>
          <w:lang w:val="en-US"/>
        </w:rPr>
        <w:t xml:space="preserve"> </w:t>
      </w:r>
      <w:hyperlink r:id="rId30" w:history="1">
        <w:r w:rsidR="009252C7" w:rsidRPr="00E92C4E">
          <w:rPr>
            <w:rStyle w:val="Hipervnculo"/>
            <w:rFonts w:ascii="Times New Roman" w:hAnsi="Times New Roman" w:cs="Times New Roman"/>
            <w:lang w:val="en-US"/>
          </w:rPr>
          <w:t>https://doi.org/10.2307/2026184</w:t>
        </w:r>
      </w:hyperlink>
    </w:p>
    <w:p w:rsidR="00CA75E1" w:rsidRPr="008D44F3" w:rsidRDefault="007A5856" w:rsidP="00DE688E">
      <w:pPr>
        <w:pStyle w:val="Sinespaciado"/>
        <w:ind w:left="284" w:hanging="284"/>
        <w:rPr>
          <w:rFonts w:ascii="Times New Roman" w:hAnsi="Times New Roman" w:cs="Times New Roman"/>
          <w:lang w:val="en-US"/>
        </w:rPr>
      </w:pPr>
      <w:r w:rsidRPr="008D44F3">
        <w:rPr>
          <w:rFonts w:ascii="Times New Roman" w:hAnsi="Times New Roman" w:cs="Times New Roman"/>
          <w:lang w:val="en-US"/>
        </w:rPr>
        <w:t>Sen, A. (1992). </w:t>
      </w:r>
      <w:r w:rsidRPr="008D44F3">
        <w:rPr>
          <w:rFonts w:ascii="Times New Roman" w:hAnsi="Times New Roman" w:cs="Times New Roman"/>
          <w:i/>
          <w:iCs/>
          <w:lang w:val="en-US"/>
        </w:rPr>
        <w:t>Inequality reexamined</w:t>
      </w:r>
      <w:r w:rsidRPr="008D44F3">
        <w:rPr>
          <w:rFonts w:ascii="Times New Roman" w:hAnsi="Times New Roman" w:cs="Times New Roman"/>
          <w:lang w:val="en-US"/>
        </w:rPr>
        <w:t xml:space="preserve">. </w:t>
      </w:r>
      <w:r w:rsidR="00E73496" w:rsidRPr="00E73496">
        <w:rPr>
          <w:rFonts w:ascii="Times New Roman" w:hAnsi="Times New Roman" w:cs="Times New Roman"/>
          <w:lang w:val="en-US"/>
        </w:rPr>
        <w:t>Cambridge</w:t>
      </w:r>
      <w:r w:rsidR="00E73496">
        <w:rPr>
          <w:rFonts w:ascii="Times New Roman" w:hAnsi="Times New Roman" w:cs="Times New Roman"/>
          <w:lang w:val="en-US"/>
        </w:rPr>
        <w:t>, MA: Harvard University Press.</w:t>
      </w:r>
    </w:p>
    <w:p w:rsidR="00CC30A8" w:rsidRPr="008D44F3" w:rsidRDefault="007C06A4" w:rsidP="00CC30A8">
      <w:pPr>
        <w:pStyle w:val="Sinespaciado"/>
        <w:ind w:left="284" w:hanging="284"/>
        <w:rPr>
          <w:rFonts w:ascii="Times New Roman" w:hAnsi="Times New Roman" w:cs="Times New Roman"/>
          <w:lang w:val="en-US"/>
        </w:rPr>
      </w:pPr>
      <w:r>
        <w:rPr>
          <w:rFonts w:ascii="Times New Roman" w:hAnsi="Times New Roman" w:cs="Times New Roman"/>
          <w:lang w:val="en-US"/>
        </w:rPr>
        <w:t>Uphoff, N. (2005). Analytical Issues in Measuring E</w:t>
      </w:r>
      <w:r w:rsidR="007A5856" w:rsidRPr="008D44F3">
        <w:rPr>
          <w:rFonts w:ascii="Times New Roman" w:hAnsi="Times New Roman" w:cs="Times New Roman"/>
          <w:lang w:val="en-US"/>
        </w:rPr>
        <w:t>mpowerment at</w:t>
      </w:r>
      <w:r w:rsidR="00E13515">
        <w:rPr>
          <w:rFonts w:ascii="Times New Roman" w:hAnsi="Times New Roman" w:cs="Times New Roman"/>
          <w:lang w:val="en-US"/>
        </w:rPr>
        <w:t xml:space="preserve"> the </w:t>
      </w:r>
      <w:r>
        <w:rPr>
          <w:rFonts w:ascii="Times New Roman" w:hAnsi="Times New Roman" w:cs="Times New Roman"/>
          <w:lang w:val="en-US"/>
        </w:rPr>
        <w:t>C</w:t>
      </w:r>
      <w:r w:rsidR="00E13515">
        <w:rPr>
          <w:rFonts w:ascii="Times New Roman" w:hAnsi="Times New Roman" w:cs="Times New Roman"/>
          <w:lang w:val="en-US"/>
        </w:rPr>
        <w:t xml:space="preserve">ommunity and </w:t>
      </w:r>
      <w:r>
        <w:rPr>
          <w:rFonts w:ascii="Times New Roman" w:hAnsi="Times New Roman" w:cs="Times New Roman"/>
          <w:lang w:val="en-US"/>
        </w:rPr>
        <w:t>L</w:t>
      </w:r>
      <w:r w:rsidR="00E13515">
        <w:rPr>
          <w:rFonts w:ascii="Times New Roman" w:hAnsi="Times New Roman" w:cs="Times New Roman"/>
          <w:lang w:val="en-US"/>
        </w:rPr>
        <w:t xml:space="preserve">ocal </w:t>
      </w:r>
      <w:r>
        <w:rPr>
          <w:rFonts w:ascii="Times New Roman" w:hAnsi="Times New Roman" w:cs="Times New Roman"/>
          <w:lang w:val="en-US"/>
        </w:rPr>
        <w:t>L</w:t>
      </w:r>
      <w:r w:rsidR="00E13515">
        <w:rPr>
          <w:rFonts w:ascii="Times New Roman" w:hAnsi="Times New Roman" w:cs="Times New Roman"/>
          <w:lang w:val="en-US"/>
        </w:rPr>
        <w:t>evels, in: D. Narayan (ed</w:t>
      </w:r>
      <w:r>
        <w:rPr>
          <w:rFonts w:ascii="Times New Roman" w:hAnsi="Times New Roman" w:cs="Times New Roman"/>
          <w:lang w:val="en-US"/>
        </w:rPr>
        <w:t>.</w:t>
      </w:r>
      <w:r w:rsidR="00E13515">
        <w:rPr>
          <w:rFonts w:ascii="Times New Roman" w:hAnsi="Times New Roman" w:cs="Times New Roman"/>
          <w:lang w:val="en-US"/>
        </w:rPr>
        <w:t>)</w:t>
      </w:r>
      <w:r>
        <w:rPr>
          <w:rFonts w:ascii="Times New Roman" w:hAnsi="Times New Roman" w:cs="Times New Roman"/>
          <w:lang w:val="en-US"/>
        </w:rPr>
        <w:t>,</w:t>
      </w:r>
      <w:r w:rsidR="007A5856" w:rsidRPr="008D44F3">
        <w:rPr>
          <w:rFonts w:ascii="Times New Roman" w:hAnsi="Times New Roman" w:cs="Times New Roman"/>
          <w:lang w:val="en-US"/>
        </w:rPr>
        <w:t> </w:t>
      </w:r>
      <w:r w:rsidR="007A5856" w:rsidRPr="007C06A4">
        <w:rPr>
          <w:rFonts w:ascii="Times New Roman" w:hAnsi="Times New Roman" w:cs="Times New Roman"/>
          <w:i/>
          <w:iCs/>
          <w:lang w:val="en-US"/>
        </w:rPr>
        <w:t>Measuring Empowerment: Cro</w:t>
      </w:r>
      <w:r w:rsidR="00E13515" w:rsidRPr="007C06A4">
        <w:rPr>
          <w:rFonts w:ascii="Times New Roman" w:hAnsi="Times New Roman" w:cs="Times New Roman"/>
          <w:i/>
          <w:iCs/>
          <w:lang w:val="en-US"/>
        </w:rPr>
        <w:t>ss-Disciplinary Perspectives</w:t>
      </w:r>
      <w:r w:rsidR="00E13515" w:rsidRPr="007C06A4">
        <w:rPr>
          <w:rFonts w:ascii="Times New Roman" w:hAnsi="Times New Roman" w:cs="Times New Roman"/>
          <w:iCs/>
          <w:lang w:val="en-US"/>
        </w:rPr>
        <w:t xml:space="preserve"> (Washington, D</w:t>
      </w:r>
      <w:r>
        <w:rPr>
          <w:rFonts w:ascii="Times New Roman" w:hAnsi="Times New Roman" w:cs="Times New Roman"/>
          <w:iCs/>
          <w:lang w:val="en-US"/>
        </w:rPr>
        <w:t>.</w:t>
      </w:r>
      <w:r w:rsidR="00E13515" w:rsidRPr="007C06A4">
        <w:rPr>
          <w:rFonts w:ascii="Times New Roman" w:hAnsi="Times New Roman" w:cs="Times New Roman"/>
          <w:iCs/>
          <w:lang w:val="en-US"/>
        </w:rPr>
        <w:t>C</w:t>
      </w:r>
      <w:r>
        <w:rPr>
          <w:rFonts w:ascii="Times New Roman" w:hAnsi="Times New Roman" w:cs="Times New Roman"/>
          <w:iCs/>
          <w:lang w:val="en-US"/>
        </w:rPr>
        <w:t>.</w:t>
      </w:r>
      <w:r w:rsidR="00E13515" w:rsidRPr="007C06A4">
        <w:rPr>
          <w:rFonts w:ascii="Times New Roman" w:hAnsi="Times New Roman" w:cs="Times New Roman"/>
          <w:iCs/>
          <w:lang w:val="en-US"/>
        </w:rPr>
        <w:t>, The W</w:t>
      </w:r>
      <w:r w:rsidR="007A5856" w:rsidRPr="007C06A4">
        <w:rPr>
          <w:rFonts w:ascii="Times New Roman" w:hAnsi="Times New Roman" w:cs="Times New Roman"/>
          <w:iCs/>
          <w:lang w:val="en-US"/>
        </w:rPr>
        <w:t>orld Bank)</w:t>
      </w:r>
      <w:r w:rsidR="007A5856" w:rsidRPr="007C06A4">
        <w:rPr>
          <w:rFonts w:ascii="Times New Roman" w:hAnsi="Times New Roman" w:cs="Times New Roman"/>
          <w:lang w:val="en-US"/>
        </w:rPr>
        <w:t>, 219-246.</w:t>
      </w:r>
      <w:r w:rsidR="003D5166" w:rsidRPr="007C06A4">
        <w:rPr>
          <w:rFonts w:ascii="Times New Roman" w:hAnsi="Times New Roman" w:cs="Times New Roman"/>
          <w:lang w:val="en-US"/>
        </w:rPr>
        <w:t xml:space="preserve"> </w:t>
      </w:r>
      <w:r w:rsidR="00E13515" w:rsidRPr="008D44F3">
        <w:rPr>
          <w:rFonts w:ascii="Times New Roman" w:hAnsi="Times New Roman" w:cs="Times New Roman"/>
          <w:lang w:val="en-US"/>
        </w:rPr>
        <w:t xml:space="preserve">(Available at URL: </w:t>
      </w:r>
      <w:r w:rsidR="00E13515" w:rsidRPr="00E13515">
        <w:rPr>
          <w:rFonts w:ascii="Times New Roman" w:hAnsi="Times New Roman" w:cs="Times New Roman"/>
          <w:lang w:val="en-US"/>
        </w:rPr>
        <w:t>http://documents.worldbank.org/curated/en/960161468175149824/pdf/344100PAPER0Me101Official0use0only1.pdf#page=241</w:t>
      </w:r>
      <w:r w:rsidR="00E13515">
        <w:rPr>
          <w:rFonts w:ascii="Times New Roman" w:hAnsi="Times New Roman" w:cs="Times New Roman"/>
          <w:lang w:val="en-US"/>
        </w:rPr>
        <w:t>)</w:t>
      </w:r>
      <w:r w:rsidR="00CC30A8">
        <w:rPr>
          <w:rFonts w:ascii="Times New Roman" w:hAnsi="Times New Roman" w:cs="Times New Roman"/>
          <w:lang w:val="en-US"/>
        </w:rPr>
        <w:t>.</w:t>
      </w:r>
    </w:p>
    <w:sectPr w:rsidR="00CC30A8" w:rsidRPr="008D44F3" w:rsidSect="008D44F3">
      <w:pgSz w:w="12240" w:h="15840"/>
      <w:pgMar w:top="1701" w:right="2552" w:bottom="1701"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9BD" w:rsidRDefault="000919BD" w:rsidP="00525D0D">
      <w:pPr>
        <w:spacing w:after="0" w:line="240" w:lineRule="auto"/>
      </w:pPr>
      <w:r>
        <w:separator/>
      </w:r>
    </w:p>
  </w:endnote>
  <w:endnote w:type="continuationSeparator" w:id="0">
    <w:p w:rsidR="000919BD" w:rsidRDefault="000919BD" w:rsidP="0052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9BD" w:rsidRDefault="000919BD" w:rsidP="00525D0D">
      <w:pPr>
        <w:spacing w:after="0" w:line="240" w:lineRule="auto"/>
      </w:pPr>
      <w:r>
        <w:separator/>
      </w:r>
    </w:p>
  </w:footnote>
  <w:footnote w:type="continuationSeparator" w:id="0">
    <w:p w:rsidR="000919BD" w:rsidRDefault="000919BD" w:rsidP="00525D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0AB3"/>
    <w:multiLevelType w:val="hybridMultilevel"/>
    <w:tmpl w:val="435208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1960CF"/>
    <w:multiLevelType w:val="multilevel"/>
    <w:tmpl w:val="59FCAD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8594678"/>
    <w:multiLevelType w:val="multilevel"/>
    <w:tmpl w:val="C65E97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F419A7"/>
    <w:multiLevelType w:val="hybridMultilevel"/>
    <w:tmpl w:val="1612EFC2"/>
    <w:lvl w:ilvl="0" w:tplc="0C54353C">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nsid w:val="33C71F2D"/>
    <w:multiLevelType w:val="multilevel"/>
    <w:tmpl w:val="5B148B8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CF00D85"/>
    <w:multiLevelType w:val="multilevel"/>
    <w:tmpl w:val="A9EA12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6183FFD"/>
    <w:multiLevelType w:val="multilevel"/>
    <w:tmpl w:val="3362C8C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81049EB"/>
    <w:multiLevelType w:val="multilevel"/>
    <w:tmpl w:val="2D8CA27E"/>
    <w:lvl w:ilvl="0">
      <w:start w:val="1"/>
      <w:numFmt w:val="decimal"/>
      <w:lvlText w:val="%1."/>
      <w:lvlJc w:val="left"/>
      <w:pPr>
        <w:ind w:left="720" w:hanging="360"/>
      </w:pPr>
      <w:rPr>
        <w:rFonts w:hint="default"/>
        <w:b/>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
  </w:num>
  <w:num w:numId="3">
    <w:abstractNumId w:val="0"/>
  </w:num>
  <w:num w:numId="4">
    <w:abstractNumId w:val="3"/>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65"/>
    <w:rsid w:val="00033DC6"/>
    <w:rsid w:val="000919BD"/>
    <w:rsid w:val="000A13A9"/>
    <w:rsid w:val="000A6B44"/>
    <w:rsid w:val="000D3A94"/>
    <w:rsid w:val="000D58F8"/>
    <w:rsid w:val="000D7EB6"/>
    <w:rsid w:val="00100A12"/>
    <w:rsid w:val="00100D1C"/>
    <w:rsid w:val="00117E63"/>
    <w:rsid w:val="00140D23"/>
    <w:rsid w:val="001812AB"/>
    <w:rsid w:val="001A3770"/>
    <w:rsid w:val="001B78D3"/>
    <w:rsid w:val="001C6B40"/>
    <w:rsid w:val="001D0791"/>
    <w:rsid w:val="001E3C21"/>
    <w:rsid w:val="00230050"/>
    <w:rsid w:val="00261E1B"/>
    <w:rsid w:val="00264249"/>
    <w:rsid w:val="00273B23"/>
    <w:rsid w:val="002756E6"/>
    <w:rsid w:val="002A23E6"/>
    <w:rsid w:val="002B6698"/>
    <w:rsid w:val="002C4221"/>
    <w:rsid w:val="002C6FE3"/>
    <w:rsid w:val="002D45D1"/>
    <w:rsid w:val="00302A1F"/>
    <w:rsid w:val="0030330D"/>
    <w:rsid w:val="003072E5"/>
    <w:rsid w:val="00322720"/>
    <w:rsid w:val="0033295A"/>
    <w:rsid w:val="0034353F"/>
    <w:rsid w:val="00347542"/>
    <w:rsid w:val="00361665"/>
    <w:rsid w:val="00372B2A"/>
    <w:rsid w:val="003C0F51"/>
    <w:rsid w:val="003D5166"/>
    <w:rsid w:val="003E04C2"/>
    <w:rsid w:val="003E695E"/>
    <w:rsid w:val="003E6D7D"/>
    <w:rsid w:val="003F1FD4"/>
    <w:rsid w:val="003F5C25"/>
    <w:rsid w:val="00441E07"/>
    <w:rsid w:val="00452D08"/>
    <w:rsid w:val="00455F8F"/>
    <w:rsid w:val="00491BEE"/>
    <w:rsid w:val="00497FDF"/>
    <w:rsid w:val="004B7F50"/>
    <w:rsid w:val="004F24FA"/>
    <w:rsid w:val="00522AEB"/>
    <w:rsid w:val="00525D0D"/>
    <w:rsid w:val="00530196"/>
    <w:rsid w:val="005325A3"/>
    <w:rsid w:val="00547888"/>
    <w:rsid w:val="00563BD5"/>
    <w:rsid w:val="00563CBB"/>
    <w:rsid w:val="005743D0"/>
    <w:rsid w:val="00582F70"/>
    <w:rsid w:val="005918D3"/>
    <w:rsid w:val="00597D54"/>
    <w:rsid w:val="005A0DEC"/>
    <w:rsid w:val="005B2E6F"/>
    <w:rsid w:val="005C74C1"/>
    <w:rsid w:val="005E5B7F"/>
    <w:rsid w:val="005F7EC8"/>
    <w:rsid w:val="0060781A"/>
    <w:rsid w:val="006121F1"/>
    <w:rsid w:val="006130ED"/>
    <w:rsid w:val="0061662F"/>
    <w:rsid w:val="00623F30"/>
    <w:rsid w:val="00645808"/>
    <w:rsid w:val="00671E20"/>
    <w:rsid w:val="00680DE4"/>
    <w:rsid w:val="00682E2E"/>
    <w:rsid w:val="006C2F75"/>
    <w:rsid w:val="006D363F"/>
    <w:rsid w:val="006E29E8"/>
    <w:rsid w:val="006E34D6"/>
    <w:rsid w:val="006F0DF0"/>
    <w:rsid w:val="006F43BF"/>
    <w:rsid w:val="006F7CAC"/>
    <w:rsid w:val="007741A1"/>
    <w:rsid w:val="00775637"/>
    <w:rsid w:val="007A5856"/>
    <w:rsid w:val="007B3246"/>
    <w:rsid w:val="007B74C5"/>
    <w:rsid w:val="007C06A4"/>
    <w:rsid w:val="007D756E"/>
    <w:rsid w:val="007E0F40"/>
    <w:rsid w:val="00836A42"/>
    <w:rsid w:val="00837EE9"/>
    <w:rsid w:val="00854084"/>
    <w:rsid w:val="00862924"/>
    <w:rsid w:val="008C5E03"/>
    <w:rsid w:val="008D11C0"/>
    <w:rsid w:val="008D1523"/>
    <w:rsid w:val="008D44F3"/>
    <w:rsid w:val="008D7CAC"/>
    <w:rsid w:val="008E402F"/>
    <w:rsid w:val="008E7FDF"/>
    <w:rsid w:val="008F1033"/>
    <w:rsid w:val="009016AA"/>
    <w:rsid w:val="009252C7"/>
    <w:rsid w:val="0093695A"/>
    <w:rsid w:val="00937143"/>
    <w:rsid w:val="00942C43"/>
    <w:rsid w:val="00957FAC"/>
    <w:rsid w:val="009607B8"/>
    <w:rsid w:val="00963DDE"/>
    <w:rsid w:val="00977A60"/>
    <w:rsid w:val="009A4185"/>
    <w:rsid w:val="009C0632"/>
    <w:rsid w:val="009C138E"/>
    <w:rsid w:val="009E4CA5"/>
    <w:rsid w:val="009F02F1"/>
    <w:rsid w:val="009F3BEC"/>
    <w:rsid w:val="009F56EC"/>
    <w:rsid w:val="00A20262"/>
    <w:rsid w:val="00A245C4"/>
    <w:rsid w:val="00A278C9"/>
    <w:rsid w:val="00A34D79"/>
    <w:rsid w:val="00A55C1A"/>
    <w:rsid w:val="00A5696D"/>
    <w:rsid w:val="00A57F75"/>
    <w:rsid w:val="00AA149D"/>
    <w:rsid w:val="00AA2F63"/>
    <w:rsid w:val="00AA3247"/>
    <w:rsid w:val="00AB4C44"/>
    <w:rsid w:val="00AC7145"/>
    <w:rsid w:val="00AD2E3B"/>
    <w:rsid w:val="00AE26DA"/>
    <w:rsid w:val="00B004CE"/>
    <w:rsid w:val="00B24975"/>
    <w:rsid w:val="00B53D2F"/>
    <w:rsid w:val="00B71A93"/>
    <w:rsid w:val="00B743D6"/>
    <w:rsid w:val="00B85CE1"/>
    <w:rsid w:val="00B94104"/>
    <w:rsid w:val="00B95305"/>
    <w:rsid w:val="00BA47B6"/>
    <w:rsid w:val="00BB2472"/>
    <w:rsid w:val="00BB4575"/>
    <w:rsid w:val="00BB7483"/>
    <w:rsid w:val="00BE60C2"/>
    <w:rsid w:val="00C12469"/>
    <w:rsid w:val="00C163BB"/>
    <w:rsid w:val="00C21E32"/>
    <w:rsid w:val="00C27D56"/>
    <w:rsid w:val="00C53768"/>
    <w:rsid w:val="00C76A9E"/>
    <w:rsid w:val="00C80675"/>
    <w:rsid w:val="00C83805"/>
    <w:rsid w:val="00CA7396"/>
    <w:rsid w:val="00CA75E1"/>
    <w:rsid w:val="00CA78DA"/>
    <w:rsid w:val="00CA7C96"/>
    <w:rsid w:val="00CC30A8"/>
    <w:rsid w:val="00CC6EA7"/>
    <w:rsid w:val="00CE0A72"/>
    <w:rsid w:val="00CE1B78"/>
    <w:rsid w:val="00CF37C7"/>
    <w:rsid w:val="00D04F5D"/>
    <w:rsid w:val="00D06250"/>
    <w:rsid w:val="00D17597"/>
    <w:rsid w:val="00D35D5A"/>
    <w:rsid w:val="00D5070D"/>
    <w:rsid w:val="00D56EEE"/>
    <w:rsid w:val="00D75AD0"/>
    <w:rsid w:val="00DB223E"/>
    <w:rsid w:val="00DC1A5C"/>
    <w:rsid w:val="00DE1072"/>
    <w:rsid w:val="00DE2398"/>
    <w:rsid w:val="00DE688E"/>
    <w:rsid w:val="00DF4ECD"/>
    <w:rsid w:val="00E13515"/>
    <w:rsid w:val="00E26BA0"/>
    <w:rsid w:val="00E37499"/>
    <w:rsid w:val="00E45B11"/>
    <w:rsid w:val="00E46F52"/>
    <w:rsid w:val="00E60666"/>
    <w:rsid w:val="00E61AF8"/>
    <w:rsid w:val="00E65963"/>
    <w:rsid w:val="00E73496"/>
    <w:rsid w:val="00EA087A"/>
    <w:rsid w:val="00EA3C67"/>
    <w:rsid w:val="00EA414E"/>
    <w:rsid w:val="00EC6928"/>
    <w:rsid w:val="00EC7F2A"/>
    <w:rsid w:val="00ED0051"/>
    <w:rsid w:val="00ED6737"/>
    <w:rsid w:val="00EF061C"/>
    <w:rsid w:val="00EF3CA3"/>
    <w:rsid w:val="00F155FD"/>
    <w:rsid w:val="00F17854"/>
    <w:rsid w:val="00F42C0D"/>
    <w:rsid w:val="00F657F3"/>
    <w:rsid w:val="00FB1B68"/>
    <w:rsid w:val="00FC3AF7"/>
    <w:rsid w:val="00FC3C75"/>
    <w:rsid w:val="00FD5044"/>
    <w:rsid w:val="00FE1B5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028B8-A9D2-4856-810A-444C5024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4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1072"/>
    <w:pPr>
      <w:ind w:left="720"/>
      <w:contextualSpacing/>
    </w:pPr>
  </w:style>
  <w:style w:type="paragraph" w:styleId="Textonotapie">
    <w:name w:val="footnote text"/>
    <w:basedOn w:val="Normal"/>
    <w:link w:val="TextonotapieCar"/>
    <w:uiPriority w:val="99"/>
    <w:semiHidden/>
    <w:unhideWhenUsed/>
    <w:rsid w:val="00525D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5D0D"/>
    <w:rPr>
      <w:sz w:val="20"/>
      <w:szCs w:val="20"/>
    </w:rPr>
  </w:style>
  <w:style w:type="character" w:styleId="Refdenotaalpie">
    <w:name w:val="footnote reference"/>
    <w:basedOn w:val="Fuentedeprrafopredeter"/>
    <w:uiPriority w:val="99"/>
    <w:semiHidden/>
    <w:unhideWhenUsed/>
    <w:rsid w:val="00525D0D"/>
    <w:rPr>
      <w:vertAlign w:val="superscript"/>
    </w:rPr>
  </w:style>
  <w:style w:type="character" w:styleId="Hipervnculo">
    <w:name w:val="Hyperlink"/>
    <w:basedOn w:val="Fuentedeprrafopredeter"/>
    <w:uiPriority w:val="99"/>
    <w:unhideWhenUsed/>
    <w:rsid w:val="007A5856"/>
    <w:rPr>
      <w:color w:val="0563C1" w:themeColor="hyperlink"/>
      <w:u w:val="single"/>
    </w:rPr>
  </w:style>
  <w:style w:type="paragraph" w:styleId="Sinespaciado">
    <w:name w:val="No Spacing"/>
    <w:uiPriority w:val="1"/>
    <w:qFormat/>
    <w:rsid w:val="0030330D"/>
    <w:pPr>
      <w:spacing w:after="0" w:line="240" w:lineRule="auto"/>
    </w:pPr>
  </w:style>
  <w:style w:type="table" w:styleId="Tablaconcuadrcula">
    <w:name w:val="Table Grid"/>
    <w:basedOn w:val="Tablanormal"/>
    <w:uiPriority w:val="39"/>
    <w:rsid w:val="00303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21">
    <w:name w:val="Tabla normal 21"/>
    <w:basedOn w:val="Tablanormal"/>
    <w:uiPriority w:val="42"/>
    <w:rsid w:val="00CA78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21">
    <w:name w:val="Tabla de cuadrícula 21"/>
    <w:basedOn w:val="Tablanormal"/>
    <w:uiPriority w:val="47"/>
    <w:rsid w:val="0077563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nfasis51">
    <w:name w:val="Tabla de cuadrícula 2 - Énfasis 51"/>
    <w:basedOn w:val="Tablanormal"/>
    <w:uiPriority w:val="47"/>
    <w:rsid w:val="0077563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213576">
      <w:bodyDiv w:val="1"/>
      <w:marLeft w:val="0"/>
      <w:marRight w:val="0"/>
      <w:marTop w:val="0"/>
      <w:marBottom w:val="0"/>
      <w:divBdr>
        <w:top w:val="none" w:sz="0" w:space="0" w:color="auto"/>
        <w:left w:val="none" w:sz="0" w:space="0" w:color="auto"/>
        <w:bottom w:val="none" w:sz="0" w:space="0" w:color="auto"/>
        <w:right w:val="none" w:sz="0" w:space="0" w:color="auto"/>
      </w:divBdr>
    </w:div>
    <w:div w:id="715467585">
      <w:bodyDiv w:val="1"/>
      <w:marLeft w:val="0"/>
      <w:marRight w:val="0"/>
      <w:marTop w:val="0"/>
      <w:marBottom w:val="0"/>
      <w:divBdr>
        <w:top w:val="none" w:sz="0" w:space="0" w:color="auto"/>
        <w:left w:val="none" w:sz="0" w:space="0" w:color="auto"/>
        <w:bottom w:val="none" w:sz="0" w:space="0" w:color="auto"/>
        <w:right w:val="none" w:sz="0" w:space="0" w:color="auto"/>
      </w:divBdr>
    </w:div>
    <w:div w:id="1136685461">
      <w:bodyDiv w:val="1"/>
      <w:marLeft w:val="0"/>
      <w:marRight w:val="0"/>
      <w:marTop w:val="0"/>
      <w:marBottom w:val="0"/>
      <w:divBdr>
        <w:top w:val="none" w:sz="0" w:space="0" w:color="auto"/>
        <w:left w:val="none" w:sz="0" w:space="0" w:color="auto"/>
        <w:bottom w:val="none" w:sz="0" w:space="0" w:color="auto"/>
        <w:right w:val="none" w:sz="0" w:space="0" w:color="auto"/>
      </w:divBdr>
    </w:div>
    <w:div w:id="1263491743">
      <w:bodyDiv w:val="1"/>
      <w:marLeft w:val="0"/>
      <w:marRight w:val="0"/>
      <w:marTop w:val="0"/>
      <w:marBottom w:val="0"/>
      <w:divBdr>
        <w:top w:val="none" w:sz="0" w:space="0" w:color="auto"/>
        <w:left w:val="none" w:sz="0" w:space="0" w:color="auto"/>
        <w:bottom w:val="none" w:sz="0" w:space="0" w:color="auto"/>
        <w:right w:val="none" w:sz="0" w:space="0" w:color="auto"/>
      </w:divBdr>
    </w:div>
    <w:div w:id="1477186402">
      <w:bodyDiv w:val="1"/>
      <w:marLeft w:val="0"/>
      <w:marRight w:val="0"/>
      <w:marTop w:val="0"/>
      <w:marBottom w:val="0"/>
      <w:divBdr>
        <w:top w:val="none" w:sz="0" w:space="0" w:color="auto"/>
        <w:left w:val="none" w:sz="0" w:space="0" w:color="auto"/>
        <w:bottom w:val="none" w:sz="0" w:space="0" w:color="auto"/>
        <w:right w:val="none" w:sz="0" w:space="0" w:color="auto"/>
      </w:divBdr>
    </w:div>
    <w:div w:id="21449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an.leon@correo.uis.edu.co" TargetMode="External"/><Relationship Id="rId13" Type="http://schemas.openxmlformats.org/officeDocument/2006/relationships/hyperlink" Target="https://doi.org/10.1017/CBO9780511492594" TargetMode="External"/><Relationship Id="rId18" Type="http://schemas.openxmlformats.org/officeDocument/2006/relationships/hyperlink" Target="https://doi.org/10.1080/13600810701701897" TargetMode="External"/><Relationship Id="rId26" Type="http://schemas.openxmlformats.org/officeDocument/2006/relationships/hyperlink" Target="http://www.scielo.org.co/pdf/dys/n76/n76a02.pdf" TargetMode="External"/><Relationship Id="rId3" Type="http://schemas.openxmlformats.org/officeDocument/2006/relationships/styles" Target="styles.xml"/><Relationship Id="rId21" Type="http://schemas.openxmlformats.org/officeDocument/2006/relationships/hyperlink" Target="https://feb.kuleuven.be/drc/Economics/research/dps-papers/dps00/dps0030.pdf" TargetMode="External"/><Relationship Id="rId7" Type="http://schemas.openxmlformats.org/officeDocument/2006/relationships/endnotes" Target="endnotes.xml"/><Relationship Id="rId12" Type="http://schemas.openxmlformats.org/officeDocument/2006/relationships/hyperlink" Target="https://doi.org/10.1017/CBO9780511492587" TargetMode="External"/><Relationship Id="rId17" Type="http://schemas.openxmlformats.org/officeDocument/2006/relationships/hyperlink" Target="https://www.brookings.edu/wp-content/uploads/2016/06/1203_colombia_ibanez_spa.pdf" TargetMode="External"/><Relationship Id="rId25" Type="http://schemas.openxmlformats.org/officeDocument/2006/relationships/hyperlink" Target="https://doi.org/10.1080/19452829.2016.1145631" TargetMode="External"/><Relationship Id="rId2" Type="http://schemas.openxmlformats.org/officeDocument/2006/relationships/numbering" Target="numbering.xml"/><Relationship Id="rId16" Type="http://schemas.openxmlformats.org/officeDocument/2006/relationships/hyperlink" Target="https://doi.org/10.1080/1354570022000077980" TargetMode="External"/><Relationship Id="rId20" Type="http://schemas.openxmlformats.org/officeDocument/2006/relationships/hyperlink" Target="https://pdfs.semanticscholar.org/6842/3faadedb45524c55263554bea269d2f4fb15.pdf" TargetMode="External"/><Relationship Id="rId29" Type="http://schemas.openxmlformats.org/officeDocument/2006/relationships/hyperlink" Target="http://documents.worldbank.org/curated/en/891971468740987036/pdf/multi-pag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6/978-0-8213-6450-5" TargetMode="External"/><Relationship Id="rId24" Type="http://schemas.openxmlformats.org/officeDocument/2006/relationships/hyperlink" Target="https://seop.illc.uva.nl/entries/capability-approac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7/CBO9780511800511.005" TargetMode="External"/><Relationship Id="rId23" Type="http://schemas.openxmlformats.org/officeDocument/2006/relationships/hyperlink" Target="https://doi.org/10.1080/146498805200034266" TargetMode="External"/><Relationship Id="rId28" Type="http://schemas.openxmlformats.org/officeDocument/2006/relationships/hyperlink" Target="http://www.ophi.org.uk/wp-content/uploads/Sen-1979_Equality-of-What.pdf" TargetMode="External"/><Relationship Id="rId10" Type="http://schemas.openxmlformats.org/officeDocument/2006/relationships/hyperlink" Target="https://doi.org/10.1080/146498805200034275" TargetMode="External"/><Relationship Id="rId19" Type="http://schemas.openxmlformats.org/officeDocument/2006/relationships/hyperlink" Target="https://pdfs.semanticscholar.org/3884/dd80b9b88a18251a608d47ecda59b5a0f528.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dadvictimas.gov.co/es/enfoque-diferencial-de-g%C3%A9nero-y-derechos-humanos-de-las-mujeres/359" TargetMode="External"/><Relationship Id="rId14" Type="http://schemas.openxmlformats.org/officeDocument/2006/relationships/hyperlink" Target="https://doi.org/10.4067/S0718-92732016000100003" TargetMode="External"/><Relationship Id="rId22" Type="http://schemas.openxmlformats.org/officeDocument/2006/relationships/hyperlink" Target="https://doi.org/10.1080/1354570022000078024" TargetMode="External"/><Relationship Id="rId27" Type="http://schemas.openxmlformats.org/officeDocument/2006/relationships/hyperlink" Target="https://doi.org/10.3362/9780855988364" TargetMode="External"/><Relationship Id="rId30" Type="http://schemas.openxmlformats.org/officeDocument/2006/relationships/hyperlink" Target="https://doi.org/10.2307/20261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2C43C-7FF4-492D-B845-AEB5BB8F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6243</Words>
  <Characters>34338</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2017-10-10T18:35:00Z</dcterms:created>
  <dcterms:modified xsi:type="dcterms:W3CDTF">2017-10-10T20:04:00Z</dcterms:modified>
</cp:coreProperties>
</file>