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4DA" w:rsidRPr="00561DF0" w:rsidRDefault="002B74DA" w:rsidP="002B74DA">
      <w:pPr>
        <w:spacing w:line="240" w:lineRule="auto"/>
        <w:jc w:val="center"/>
        <w:outlineLvl w:val="0"/>
        <w:rPr>
          <w:rFonts w:eastAsia="Arial Unicode MS"/>
          <w:b/>
          <w:sz w:val="28"/>
          <w:u w:color="000000"/>
        </w:rPr>
      </w:pPr>
      <w:r>
        <w:rPr>
          <w:b/>
          <w:sz w:val="28"/>
          <w:szCs w:val="28"/>
        </w:rPr>
        <w:t>A Report of Mongolia’s Renewal capital</w:t>
      </w:r>
    </w:p>
    <w:p w:rsidR="002B74DA" w:rsidRPr="00721993" w:rsidRDefault="002B74DA" w:rsidP="002B74DA">
      <w:pPr>
        <w:pStyle w:val="Body1"/>
        <w:jc w:val="center"/>
        <w:rPr>
          <w:rFonts w:eastAsia="PMingLiU"/>
          <w:sz w:val="16"/>
          <w:szCs w:val="16"/>
        </w:rPr>
      </w:pPr>
    </w:p>
    <w:p w:rsidR="002B74DA" w:rsidRPr="00AA2809" w:rsidRDefault="002B74DA" w:rsidP="002B74DA">
      <w:pPr>
        <w:pStyle w:val="Body1"/>
        <w:jc w:val="center"/>
        <w:rPr>
          <w:rFonts w:eastAsia="PMingLiU"/>
          <w:sz w:val="16"/>
          <w:szCs w:val="16"/>
        </w:rPr>
      </w:pPr>
    </w:p>
    <w:p w:rsidR="002B74DA" w:rsidRPr="00561DF0" w:rsidRDefault="002B74DA" w:rsidP="002B74DA">
      <w:pPr>
        <w:pStyle w:val="Body1"/>
        <w:jc w:val="center"/>
        <w:rPr>
          <w:rFonts w:eastAsia="PMingLiU"/>
          <w:sz w:val="16"/>
          <w:szCs w:val="16"/>
        </w:rPr>
      </w:pPr>
    </w:p>
    <w:p w:rsidR="002B74DA" w:rsidRDefault="002B74DA" w:rsidP="002B74DA">
      <w:pPr>
        <w:pStyle w:val="GvdeMetniGirintisi"/>
        <w:snapToGrid w:val="0"/>
        <w:ind w:left="0" w:firstLine="0"/>
        <w:jc w:val="center"/>
        <w:rPr>
          <w:szCs w:val="24"/>
        </w:rPr>
      </w:pPr>
    </w:p>
    <w:p w:rsidR="002B74DA" w:rsidRDefault="002B74DA" w:rsidP="002B74DA">
      <w:pPr>
        <w:pStyle w:val="GvdeMetniGirintisi"/>
        <w:snapToGrid w:val="0"/>
        <w:ind w:left="0" w:firstLine="0"/>
        <w:jc w:val="center"/>
        <w:rPr>
          <w:szCs w:val="24"/>
        </w:rPr>
      </w:pPr>
    </w:p>
    <w:p w:rsidR="002B74DA" w:rsidRPr="00561DF0" w:rsidRDefault="002B74DA" w:rsidP="002B74DA">
      <w:pPr>
        <w:pStyle w:val="GvdeMetniGirintisi"/>
        <w:snapToGrid w:val="0"/>
        <w:ind w:left="0" w:firstLine="0"/>
        <w:jc w:val="center"/>
        <w:rPr>
          <w:szCs w:val="24"/>
        </w:rPr>
      </w:pPr>
    </w:p>
    <w:p w:rsidR="002B74DA" w:rsidRDefault="002B74DA" w:rsidP="002B74DA">
      <w:pPr>
        <w:pStyle w:val="Body1"/>
        <w:jc w:val="center"/>
      </w:pPr>
      <w:proofErr w:type="spellStart"/>
      <w:r>
        <w:t>Kuo</w:t>
      </w:r>
      <w:proofErr w:type="spellEnd"/>
      <w:r>
        <w:t>-Ming Chu</w:t>
      </w:r>
    </w:p>
    <w:p w:rsidR="002B74DA" w:rsidRDefault="002B74DA" w:rsidP="002B74DA">
      <w:pPr>
        <w:pStyle w:val="Body1"/>
        <w:jc w:val="center"/>
      </w:pPr>
      <w:r>
        <w:t xml:space="preserve">Assistant professor, </w:t>
      </w:r>
    </w:p>
    <w:p w:rsidR="002B74DA" w:rsidRDefault="002B74DA" w:rsidP="002B74DA">
      <w:pPr>
        <w:pStyle w:val="Body1"/>
        <w:jc w:val="center"/>
      </w:pPr>
      <w:r>
        <w:t xml:space="preserve">Department of Business Administration, Cheng </w:t>
      </w:r>
      <w:proofErr w:type="spellStart"/>
      <w:r>
        <w:t>Shiu</w:t>
      </w:r>
      <w:proofErr w:type="spellEnd"/>
      <w:r>
        <w:t xml:space="preserve"> University</w:t>
      </w:r>
    </w:p>
    <w:p w:rsidR="002B74DA" w:rsidRDefault="002B74DA" w:rsidP="002B74DA">
      <w:pPr>
        <w:pStyle w:val="Body1"/>
        <w:jc w:val="center"/>
      </w:pPr>
      <w:r>
        <w:t>886-7-7310606</w:t>
      </w:r>
    </w:p>
    <w:p w:rsidR="002B74DA" w:rsidRDefault="002B74DA" w:rsidP="002B74DA">
      <w:pPr>
        <w:pStyle w:val="Body1"/>
        <w:jc w:val="center"/>
      </w:pPr>
      <w:proofErr w:type="gramStart"/>
      <w:r>
        <w:t xml:space="preserve">No.840, </w:t>
      </w:r>
      <w:proofErr w:type="spellStart"/>
      <w:r>
        <w:t>Chengcing</w:t>
      </w:r>
      <w:proofErr w:type="spellEnd"/>
      <w:r>
        <w:t xml:space="preserve"> Rd., </w:t>
      </w:r>
      <w:proofErr w:type="spellStart"/>
      <w:r>
        <w:t>Niaosong</w:t>
      </w:r>
      <w:proofErr w:type="spellEnd"/>
      <w:r>
        <w:t xml:space="preserve"> Dist., Kaohsiung City 833, Taiwan (R.O.C.)</w:t>
      </w:r>
      <w:proofErr w:type="gramEnd"/>
    </w:p>
    <w:p w:rsidR="002B74DA" w:rsidRDefault="002B74DA" w:rsidP="002B74DA">
      <w:pPr>
        <w:pStyle w:val="Body1"/>
        <w:jc w:val="center"/>
        <w:rPr>
          <w:rFonts w:eastAsia="PMingLiU"/>
          <w:sz w:val="16"/>
          <w:szCs w:val="16"/>
        </w:rPr>
      </w:pPr>
    </w:p>
    <w:p w:rsidR="002B74DA" w:rsidRPr="00561DF0" w:rsidRDefault="002B74DA" w:rsidP="002B74DA">
      <w:pPr>
        <w:pStyle w:val="Body1"/>
        <w:jc w:val="center"/>
        <w:rPr>
          <w:rFonts w:eastAsia="PMingLiU"/>
          <w:sz w:val="16"/>
          <w:szCs w:val="16"/>
        </w:rPr>
      </w:pPr>
    </w:p>
    <w:p w:rsidR="002B74DA" w:rsidRDefault="002B74DA" w:rsidP="002B74DA">
      <w:pPr>
        <w:pStyle w:val="Body1"/>
        <w:jc w:val="center"/>
      </w:pPr>
    </w:p>
    <w:p w:rsidR="002B74DA" w:rsidRPr="00561DF0" w:rsidRDefault="002B74DA" w:rsidP="002B74DA">
      <w:pPr>
        <w:pStyle w:val="Body1"/>
        <w:jc w:val="center"/>
      </w:pPr>
    </w:p>
    <w:p w:rsidR="002B74DA" w:rsidRPr="00561DF0" w:rsidRDefault="002B74DA" w:rsidP="002B74DA">
      <w:pPr>
        <w:pStyle w:val="Body1"/>
        <w:jc w:val="center"/>
      </w:pPr>
      <w:proofErr w:type="spellStart"/>
      <w:r w:rsidRPr="00357E91">
        <w:t>Margad-ErdeneSandui</w:t>
      </w:r>
      <w:proofErr w:type="spellEnd"/>
    </w:p>
    <w:p w:rsidR="002B74DA" w:rsidRDefault="002B74DA" w:rsidP="002B74DA">
      <w:pPr>
        <w:pStyle w:val="Body1"/>
        <w:jc w:val="center"/>
      </w:pPr>
      <w:proofErr w:type="spellStart"/>
      <w:r w:rsidRPr="00561DF0">
        <w:t>Granduate</w:t>
      </w:r>
      <w:proofErr w:type="spellEnd"/>
      <w:r w:rsidRPr="00561DF0">
        <w:t xml:space="preserve">, </w:t>
      </w:r>
    </w:p>
    <w:p w:rsidR="002B74DA" w:rsidRPr="00561DF0" w:rsidRDefault="002B74DA" w:rsidP="002B74DA">
      <w:pPr>
        <w:pStyle w:val="Body1"/>
        <w:jc w:val="center"/>
      </w:pPr>
      <w:r>
        <w:t xml:space="preserve">IMBA, </w:t>
      </w:r>
      <w:r w:rsidRPr="00561DF0">
        <w:t>I-</w:t>
      </w:r>
      <w:proofErr w:type="spellStart"/>
      <w:r w:rsidRPr="00561DF0">
        <w:t>Shou</w:t>
      </w:r>
      <w:proofErr w:type="spellEnd"/>
      <w:r w:rsidRPr="00561DF0">
        <w:t xml:space="preserve"> University</w:t>
      </w:r>
    </w:p>
    <w:p w:rsidR="002B74DA" w:rsidRPr="00561DF0" w:rsidRDefault="002B74DA" w:rsidP="002B74DA">
      <w:pPr>
        <w:pStyle w:val="Body1"/>
        <w:jc w:val="center"/>
      </w:pPr>
      <w:r w:rsidRPr="002478DA">
        <w:t xml:space="preserve">No.1, Sec. 1, </w:t>
      </w:r>
      <w:proofErr w:type="spellStart"/>
      <w:r w:rsidRPr="002478DA">
        <w:t>Syuecheng</w:t>
      </w:r>
      <w:proofErr w:type="spellEnd"/>
      <w:r w:rsidRPr="002478DA">
        <w:t xml:space="preserve"> Rd., </w:t>
      </w:r>
      <w:proofErr w:type="spellStart"/>
      <w:r w:rsidRPr="002478DA">
        <w:t>Dashu</w:t>
      </w:r>
      <w:proofErr w:type="spellEnd"/>
      <w:r w:rsidRPr="002478DA">
        <w:t xml:space="preserve"> District, Kaohsiung City 84001,Taiwan, R.O.C.</w:t>
      </w:r>
    </w:p>
    <w:p w:rsidR="002B74DA" w:rsidRPr="00561DF0" w:rsidRDefault="002B74DA" w:rsidP="002B74DA">
      <w:pPr>
        <w:pStyle w:val="Body1"/>
        <w:jc w:val="center"/>
      </w:pPr>
    </w:p>
    <w:p w:rsidR="002B74DA" w:rsidRPr="00AA2809" w:rsidRDefault="002B74DA" w:rsidP="002B74DA">
      <w:pPr>
        <w:pStyle w:val="Body1"/>
        <w:jc w:val="center"/>
        <w:rPr>
          <w:sz w:val="16"/>
          <w:szCs w:val="16"/>
        </w:rPr>
      </w:pPr>
    </w:p>
    <w:p w:rsidR="002B74DA" w:rsidRDefault="002B74DA" w:rsidP="002B74DA">
      <w:pPr>
        <w:pStyle w:val="Body1"/>
        <w:jc w:val="center"/>
      </w:pPr>
    </w:p>
    <w:p w:rsidR="002B74DA" w:rsidRPr="00721993" w:rsidRDefault="002B74DA" w:rsidP="002B74DA">
      <w:pPr>
        <w:pStyle w:val="Body1"/>
        <w:jc w:val="center"/>
      </w:pPr>
    </w:p>
    <w:p w:rsidR="002B74DA" w:rsidRPr="00561DF0" w:rsidRDefault="002B74DA" w:rsidP="002B74DA">
      <w:pPr>
        <w:pStyle w:val="Body1"/>
        <w:jc w:val="center"/>
      </w:pPr>
    </w:p>
    <w:p w:rsidR="002B74DA" w:rsidRPr="00561DF0" w:rsidRDefault="002B74DA" w:rsidP="002B74DA">
      <w:pPr>
        <w:pStyle w:val="Body1"/>
        <w:jc w:val="center"/>
        <w:rPr>
          <w:sz w:val="16"/>
          <w:szCs w:val="16"/>
        </w:rPr>
      </w:pPr>
    </w:p>
    <w:p w:rsidR="002B74DA" w:rsidRDefault="002B74DA" w:rsidP="002B74DA">
      <w:pPr>
        <w:spacing w:after="0" w:line="240" w:lineRule="auto"/>
        <w:ind w:left="0" w:right="0" w:firstLine="0"/>
        <w:jc w:val="left"/>
        <w:rPr>
          <w:b/>
          <w:sz w:val="40"/>
        </w:rPr>
      </w:pPr>
      <w:r>
        <w:br w:type="page"/>
      </w:r>
    </w:p>
    <w:p w:rsidR="002B74DA" w:rsidRPr="00844C37" w:rsidRDefault="002B74DA" w:rsidP="002B74DA">
      <w:pPr>
        <w:pStyle w:val="Balk1"/>
        <w:rPr>
          <w:color w:val="auto"/>
          <w:sz w:val="28"/>
        </w:rPr>
      </w:pPr>
      <w:r w:rsidRPr="00844C37">
        <w:rPr>
          <w:color w:val="auto"/>
          <w:sz w:val="28"/>
        </w:rPr>
        <w:lastRenderedPageBreak/>
        <w:t>Abstract</w:t>
      </w:r>
    </w:p>
    <w:p w:rsidR="002B74DA" w:rsidRPr="00844C37" w:rsidRDefault="002B74DA" w:rsidP="002B74DA">
      <w:pPr>
        <w:spacing w:line="360" w:lineRule="auto"/>
        <w:rPr>
          <w:color w:val="auto"/>
          <w:szCs w:val="24"/>
        </w:rPr>
      </w:pPr>
      <w:r w:rsidRPr="00844C37">
        <w:rPr>
          <w:color w:val="auto"/>
          <w:szCs w:val="24"/>
        </w:rPr>
        <w:t xml:space="preserve">In a dynamically changing world, a major part of a nation’s competitiveness comes from its capacity of renewing itself to fit the global environment. Those resources that constitute the foundation of such capacity </w:t>
      </w:r>
      <w:proofErr w:type="gramStart"/>
      <w:r w:rsidRPr="00844C37">
        <w:rPr>
          <w:color w:val="auto"/>
          <w:szCs w:val="24"/>
        </w:rPr>
        <w:t>is</w:t>
      </w:r>
      <w:proofErr w:type="gramEnd"/>
      <w:r w:rsidRPr="00844C37">
        <w:rPr>
          <w:color w:val="auto"/>
          <w:szCs w:val="24"/>
        </w:rPr>
        <w:t xml:space="preserve"> called renewal capital of a nation. Multiple indicators and measures of renewal capital of Mongolia were analyzed and reported here in this present paper. We found that: first, Mongolia needs more regular, large-scale data collection in regard to its national renewal capital, in order to know the directions of improvement and investment; second, while R&amp;D spending and patent usage of businesses need to be stimulated more, scientific publication has potential to grow and contribute to renewal. These results shed lights on the policy making and business practices. </w:t>
      </w:r>
    </w:p>
    <w:p w:rsidR="002B74DA" w:rsidRPr="00844C37" w:rsidRDefault="002B74DA" w:rsidP="002B74DA">
      <w:pPr>
        <w:spacing w:line="360" w:lineRule="auto"/>
        <w:rPr>
          <w:i/>
          <w:color w:val="auto"/>
          <w:szCs w:val="24"/>
        </w:rPr>
      </w:pPr>
      <w:proofErr w:type="spellStart"/>
      <w:r w:rsidRPr="00844C37">
        <w:rPr>
          <w:b/>
          <w:i/>
          <w:color w:val="auto"/>
          <w:szCs w:val="24"/>
        </w:rPr>
        <w:t>Keywords</w:t>
      </w:r>
      <w:proofErr w:type="gramStart"/>
      <w:r w:rsidRPr="00844C37">
        <w:rPr>
          <w:b/>
          <w:i/>
          <w:color w:val="auto"/>
          <w:szCs w:val="24"/>
        </w:rPr>
        <w:t>:</w:t>
      </w:r>
      <w:r w:rsidRPr="00844C37">
        <w:rPr>
          <w:rFonts w:eastAsia="PMingLiU" w:hint="eastAsia"/>
          <w:i/>
          <w:color w:val="auto"/>
          <w:szCs w:val="24"/>
        </w:rPr>
        <w:t>Renewal</w:t>
      </w:r>
      <w:proofErr w:type="spellEnd"/>
      <w:proofErr w:type="gramEnd"/>
      <w:r w:rsidRPr="00844C37">
        <w:rPr>
          <w:rFonts w:eastAsia="PMingLiU" w:hint="eastAsia"/>
          <w:i/>
          <w:color w:val="auto"/>
          <w:szCs w:val="24"/>
        </w:rPr>
        <w:t xml:space="preserve"> capital</w:t>
      </w:r>
      <w:r w:rsidRPr="00844C37">
        <w:rPr>
          <w:i/>
          <w:color w:val="auto"/>
          <w:szCs w:val="24"/>
        </w:rPr>
        <w:t>, national wealth, intangible assets, Mongolia</w:t>
      </w:r>
    </w:p>
    <w:p w:rsidR="002B74DA" w:rsidRDefault="002B74DA" w:rsidP="002B74DA">
      <w:pPr>
        <w:snapToGrid w:val="0"/>
        <w:rPr>
          <w:rFonts w:eastAsia="DFKai-SB"/>
          <w:b/>
        </w:rPr>
      </w:pPr>
      <w:r w:rsidRPr="006E2263">
        <w:rPr>
          <w:rFonts w:eastAsia="DFKai-SB"/>
          <w:b/>
        </w:rPr>
        <w:t xml:space="preserve">JEL Class: </w:t>
      </w:r>
      <w:r w:rsidRPr="006E2263">
        <w:rPr>
          <w:rFonts w:eastAsia="DFKai-SB"/>
        </w:rPr>
        <w:t>M10; M11; M14</w:t>
      </w:r>
    </w:p>
    <w:p w:rsidR="00AE1107" w:rsidRDefault="00AE1107"/>
    <w:sectPr w:rsidR="00AE1107" w:rsidSect="00AE110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DFKai-SB">
    <w:altName w:val="標楷體"/>
    <w:panose1 w:val="03000509000000000000"/>
    <w:charset w:val="88"/>
    <w:family w:val="script"/>
    <w:pitch w:val="fixed"/>
    <w:sig w:usb0="00000003" w:usb1="080E0000"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2B74DA"/>
    <w:rsid w:val="001740F7"/>
    <w:rsid w:val="002B74DA"/>
    <w:rsid w:val="00AE110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4DA"/>
    <w:pPr>
      <w:spacing w:after="117" w:line="358" w:lineRule="auto"/>
      <w:ind w:left="10" w:right="331" w:hanging="10"/>
      <w:jc w:val="both"/>
    </w:pPr>
    <w:rPr>
      <w:rFonts w:eastAsia="Times New Roman"/>
      <w:kern w:val="2"/>
      <w:sz w:val="24"/>
      <w:lang w:val="en-US" w:eastAsia="zh-TW"/>
    </w:rPr>
  </w:style>
  <w:style w:type="paragraph" w:styleId="Balk1">
    <w:name w:val="heading 1"/>
    <w:next w:val="Normal"/>
    <w:link w:val="Balk1Char"/>
    <w:uiPriority w:val="9"/>
    <w:unhideWhenUsed/>
    <w:qFormat/>
    <w:rsid w:val="002B74DA"/>
    <w:pPr>
      <w:keepNext/>
      <w:keepLines/>
      <w:spacing w:after="2" w:line="260" w:lineRule="auto"/>
      <w:ind w:left="10" w:right="431" w:hanging="10"/>
      <w:jc w:val="center"/>
      <w:outlineLvl w:val="0"/>
    </w:pPr>
    <w:rPr>
      <w:rFonts w:eastAsia="Times New Roman"/>
      <w:b/>
      <w:kern w:val="2"/>
      <w:sz w:val="40"/>
      <w:lang w:val="en-US" w:eastAsia="zh-TW"/>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B74DA"/>
    <w:rPr>
      <w:rFonts w:eastAsia="Times New Roman"/>
      <w:b/>
      <w:kern w:val="2"/>
      <w:sz w:val="40"/>
      <w:lang w:val="en-US" w:eastAsia="zh-TW"/>
    </w:rPr>
  </w:style>
  <w:style w:type="paragraph" w:customStyle="1" w:styleId="Body1">
    <w:name w:val="Body 1"/>
    <w:rsid w:val="002B74DA"/>
    <w:pPr>
      <w:widowControl w:val="0"/>
      <w:spacing w:after="0" w:line="240" w:lineRule="auto"/>
      <w:outlineLvl w:val="0"/>
    </w:pPr>
    <w:rPr>
      <w:rFonts w:eastAsia="Arial Unicode MS"/>
      <w:kern w:val="2"/>
      <w:sz w:val="24"/>
      <w:szCs w:val="20"/>
      <w:u w:color="000000"/>
      <w:lang w:val="en-US" w:eastAsia="zh-TW"/>
    </w:rPr>
  </w:style>
  <w:style w:type="paragraph" w:styleId="GvdeMetniGirintisi">
    <w:name w:val="Body Text Indent"/>
    <w:basedOn w:val="Normal"/>
    <w:link w:val="GvdeMetniGirintisiChar"/>
    <w:rsid w:val="002B74DA"/>
    <w:pPr>
      <w:widowControl w:val="0"/>
      <w:numPr>
        <w:ilvl w:val="12"/>
      </w:numPr>
      <w:adjustRightInd w:val="0"/>
      <w:spacing w:after="0" w:line="240" w:lineRule="auto"/>
      <w:ind w:left="900" w:right="0" w:firstLine="480"/>
      <w:jc w:val="left"/>
      <w:textAlignment w:val="baseline"/>
    </w:pPr>
    <w:rPr>
      <w:rFonts w:eastAsia="DFKai-SB"/>
      <w:color w:val="auto"/>
      <w:szCs w:val="20"/>
    </w:rPr>
  </w:style>
  <w:style w:type="character" w:customStyle="1" w:styleId="GvdeMetniGirintisiChar">
    <w:name w:val="Gövde Metni Girintisi Char"/>
    <w:basedOn w:val="VarsaylanParagrafYazTipi"/>
    <w:link w:val="GvdeMetniGirintisi"/>
    <w:rsid w:val="002B74DA"/>
    <w:rPr>
      <w:rFonts w:eastAsia="DFKai-SB"/>
      <w:color w:val="auto"/>
      <w:kern w:val="2"/>
      <w:sz w:val="24"/>
      <w:szCs w:val="20"/>
      <w:lang w:val="en-US" w:eastAsia="zh-T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189</Words>
  <Characters>1083</Characters>
  <Application>Microsoft Office Word</Application>
  <DocSecurity>0</DocSecurity>
  <Lines>9</Lines>
  <Paragraphs>2</Paragraphs>
  <ScaleCrop>false</ScaleCrop>
  <Company/>
  <LinksUpToDate>false</LinksUpToDate>
  <CharactersWithSpaces>1270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Bilal</dc:creator>
  <cp:lastModifiedBy>Bilal</cp:lastModifiedBy>
  <cp:revision>1</cp:revision>
  <dcterms:created xsi:type="dcterms:W3CDTF">2017-09-15T12:22:00Z</dcterms:created>
  <dcterms:modified xsi:type="dcterms:W3CDTF">2017-09-15T12:23:00Z</dcterms:modified>
</cp:coreProperties>
</file>