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harts/style1.xml" ContentType="application/vnd.ms-office.chartstyle+xml"/>
  <Override PartName="/word/charts/colors1.xml" ContentType="application/vnd.ms-office.chartcolorsty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A6897" w14:textId="5835215A" w:rsidR="00AD78B7" w:rsidRPr="008E6121" w:rsidRDefault="00DD02A6" w:rsidP="008E61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6121">
        <w:rPr>
          <w:rFonts w:ascii="Times New Roman" w:hAnsi="Times New Roman" w:cs="Times New Roman"/>
          <w:b/>
          <w:sz w:val="32"/>
          <w:szCs w:val="32"/>
        </w:rPr>
        <w:t xml:space="preserve">Free </w:t>
      </w:r>
      <w:r w:rsidR="00F70CA3" w:rsidRPr="008E6121">
        <w:rPr>
          <w:rFonts w:ascii="Times New Roman" w:hAnsi="Times New Roman" w:cs="Times New Roman"/>
          <w:b/>
          <w:sz w:val="32"/>
          <w:szCs w:val="32"/>
        </w:rPr>
        <w:t>t</w:t>
      </w:r>
      <w:r w:rsidR="00B324FC" w:rsidRPr="008E6121">
        <w:rPr>
          <w:rFonts w:ascii="Times New Roman" w:hAnsi="Times New Roman" w:cs="Times New Roman"/>
          <w:b/>
          <w:sz w:val="32"/>
          <w:szCs w:val="32"/>
        </w:rPr>
        <w:t xml:space="preserve">rade </w:t>
      </w:r>
      <w:r w:rsidR="00B833D6" w:rsidRPr="008E6121">
        <w:rPr>
          <w:rFonts w:ascii="Times New Roman" w:hAnsi="Times New Roman" w:cs="Times New Roman"/>
          <w:b/>
          <w:sz w:val="32"/>
          <w:szCs w:val="32"/>
        </w:rPr>
        <w:t xml:space="preserve">and FDI </w:t>
      </w:r>
      <w:r w:rsidR="00B324FC" w:rsidRPr="008E6121">
        <w:rPr>
          <w:rFonts w:ascii="Times New Roman" w:hAnsi="Times New Roman" w:cs="Times New Roman"/>
          <w:b/>
          <w:sz w:val="32"/>
          <w:szCs w:val="32"/>
        </w:rPr>
        <w:t xml:space="preserve">in Kosovo: </w:t>
      </w:r>
      <w:r w:rsidR="00E906FD" w:rsidRPr="008E6121">
        <w:rPr>
          <w:rFonts w:ascii="Times New Roman" w:hAnsi="Times New Roman" w:cs="Times New Roman"/>
          <w:b/>
          <w:sz w:val="32"/>
          <w:szCs w:val="32"/>
        </w:rPr>
        <w:t>prospects</w:t>
      </w:r>
      <w:r w:rsidR="00F70CA3" w:rsidRPr="008E612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E6121">
        <w:rPr>
          <w:rFonts w:ascii="Times New Roman" w:hAnsi="Times New Roman" w:cs="Times New Roman"/>
          <w:b/>
          <w:sz w:val="32"/>
          <w:szCs w:val="32"/>
        </w:rPr>
        <w:t xml:space="preserve">for </w:t>
      </w:r>
      <w:r w:rsidR="00E5611B" w:rsidRPr="008E6121">
        <w:rPr>
          <w:rFonts w:ascii="Times New Roman" w:hAnsi="Times New Roman" w:cs="Times New Roman"/>
          <w:b/>
          <w:sz w:val="32"/>
          <w:szCs w:val="32"/>
        </w:rPr>
        <w:t>integrati</w:t>
      </w:r>
      <w:r w:rsidR="00E5611B">
        <w:rPr>
          <w:rFonts w:ascii="Times New Roman" w:hAnsi="Times New Roman" w:cs="Times New Roman"/>
          <w:b/>
          <w:sz w:val="32"/>
          <w:szCs w:val="32"/>
        </w:rPr>
        <w:t>on</w:t>
      </w:r>
      <w:r w:rsidR="00E5611B" w:rsidRPr="008E612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324FC" w:rsidRPr="008E6121">
        <w:rPr>
          <w:rFonts w:ascii="Times New Roman" w:hAnsi="Times New Roman" w:cs="Times New Roman"/>
          <w:b/>
          <w:sz w:val="32"/>
          <w:szCs w:val="32"/>
        </w:rPr>
        <w:t xml:space="preserve">into </w:t>
      </w:r>
      <w:r w:rsidR="00204B3F" w:rsidRPr="008E6121">
        <w:rPr>
          <w:rFonts w:ascii="Times New Roman" w:hAnsi="Times New Roman" w:cs="Times New Roman"/>
          <w:b/>
          <w:sz w:val="32"/>
          <w:szCs w:val="32"/>
        </w:rPr>
        <w:t>the EU and Turkish</w:t>
      </w:r>
      <w:r w:rsidR="00B324FC" w:rsidRPr="008E612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70CA3" w:rsidRPr="008E6121">
        <w:rPr>
          <w:rFonts w:ascii="Times New Roman" w:hAnsi="Times New Roman" w:cs="Times New Roman"/>
          <w:b/>
          <w:sz w:val="32"/>
          <w:szCs w:val="32"/>
        </w:rPr>
        <w:t>p</w:t>
      </w:r>
      <w:r w:rsidR="00B324FC" w:rsidRPr="008E6121">
        <w:rPr>
          <w:rFonts w:ascii="Times New Roman" w:hAnsi="Times New Roman" w:cs="Times New Roman"/>
          <w:b/>
          <w:sz w:val="32"/>
          <w:szCs w:val="32"/>
        </w:rPr>
        <w:t xml:space="preserve">roduction </w:t>
      </w:r>
      <w:r w:rsidR="00F70CA3" w:rsidRPr="008E6121">
        <w:rPr>
          <w:rFonts w:ascii="Times New Roman" w:hAnsi="Times New Roman" w:cs="Times New Roman"/>
          <w:b/>
          <w:sz w:val="32"/>
          <w:szCs w:val="32"/>
        </w:rPr>
        <w:t>n</w:t>
      </w:r>
      <w:r w:rsidR="00B324FC" w:rsidRPr="008E6121">
        <w:rPr>
          <w:rFonts w:ascii="Times New Roman" w:hAnsi="Times New Roman" w:cs="Times New Roman"/>
          <w:b/>
          <w:sz w:val="32"/>
          <w:szCs w:val="32"/>
        </w:rPr>
        <w:t>etworks</w:t>
      </w:r>
    </w:p>
    <w:p w14:paraId="67F87C71" w14:textId="77777777" w:rsidR="003275CE" w:rsidRPr="00466EA1" w:rsidRDefault="003275CE" w:rsidP="003275CE">
      <w:pPr>
        <w:rPr>
          <w:rFonts w:ascii="Times New Roman" w:hAnsi="Times New Roman" w:cs="Times New Roman"/>
          <w:b/>
          <w:sz w:val="32"/>
          <w:szCs w:val="32"/>
        </w:rPr>
      </w:pPr>
    </w:p>
    <w:p w14:paraId="7C7650FD" w14:textId="77777777" w:rsidR="003275CE" w:rsidRPr="00466EA1" w:rsidRDefault="003275CE" w:rsidP="003275CE">
      <w:pPr>
        <w:ind w:firstLine="288"/>
        <w:jc w:val="both"/>
        <w:rPr>
          <w:rFonts w:ascii="Times New Roman" w:hAnsi="Times New Roman" w:cs="Times New Roman"/>
          <w:sz w:val="22"/>
          <w:szCs w:val="22"/>
        </w:rPr>
      </w:pPr>
    </w:p>
    <w:p w14:paraId="3122E9CE" w14:textId="5F1358B1" w:rsidR="00E76C4D" w:rsidRPr="00152A5B" w:rsidRDefault="000C7B95" w:rsidP="008A51FB">
      <w:pPr>
        <w:pStyle w:val="Caption"/>
        <w:keepNext/>
        <w:spacing w:after="0"/>
        <w:rPr>
          <w:rFonts w:ascii="Times New Roman" w:hAnsi="Times New Roman" w:cs="Times New Roman"/>
          <w:b w:val="0"/>
          <w:color w:val="auto"/>
          <w:sz w:val="22"/>
          <w:szCs w:val="22"/>
        </w:rPr>
      </w:pPr>
      <w:bookmarkStart w:id="0" w:name="_Toc305169089"/>
      <w:r w:rsidRPr="00152A5B">
        <w:rPr>
          <w:rFonts w:ascii="Times New Roman" w:hAnsi="Times New Roman" w:cs="Times New Roman"/>
          <w:color w:val="auto"/>
          <w:sz w:val="22"/>
          <w:szCs w:val="22"/>
        </w:rPr>
        <w:t>TABLE 1.</w:t>
      </w:r>
      <w:r w:rsidR="00E76C4D" w:rsidRPr="00152A5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 w:rsidR="00E76C4D" w:rsidRPr="00152A5B">
        <w:rPr>
          <w:rFonts w:ascii="Times New Roman" w:hAnsi="Times New Roman" w:cs="Times New Roman"/>
          <w:b w:val="0"/>
          <w:i/>
          <w:color w:val="auto"/>
          <w:sz w:val="22"/>
          <w:szCs w:val="22"/>
        </w:rPr>
        <w:t>Kosovo’s external trade indicators</w:t>
      </w:r>
      <w:bookmarkEnd w:id="0"/>
    </w:p>
    <w:tbl>
      <w:tblPr>
        <w:tblW w:w="7277" w:type="dxa"/>
        <w:jc w:val="center"/>
        <w:tblLayout w:type="fixed"/>
        <w:tblLook w:val="04A0" w:firstRow="1" w:lastRow="0" w:firstColumn="1" w:lastColumn="0" w:noHBand="0" w:noVBand="1"/>
      </w:tblPr>
      <w:tblGrid>
        <w:gridCol w:w="3292"/>
        <w:gridCol w:w="1263"/>
        <w:gridCol w:w="1316"/>
        <w:gridCol w:w="1406"/>
      </w:tblGrid>
      <w:tr w:rsidR="003275CE" w:rsidRPr="00260D80" w14:paraId="0F823B4F" w14:textId="77777777" w:rsidTr="000C7B95">
        <w:trPr>
          <w:trHeight w:val="320"/>
          <w:jc w:val="center"/>
        </w:trPr>
        <w:tc>
          <w:tcPr>
            <w:tcW w:w="32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5DC1" w14:textId="77777777" w:rsidR="00E76C4D" w:rsidRPr="00152A5B" w:rsidRDefault="00E76C4D" w:rsidP="003275C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eastAsia="Times New Roman" w:hAnsi="Times New Roman" w:cs="Times New Roman"/>
                <w:sz w:val="22"/>
                <w:szCs w:val="22"/>
              </w:rPr>
              <w:t>Indicators</w:t>
            </w:r>
          </w:p>
        </w:tc>
        <w:tc>
          <w:tcPr>
            <w:tcW w:w="126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6764" w14:textId="77777777" w:rsidR="00E76C4D" w:rsidRPr="00152A5B" w:rsidRDefault="00E76C4D" w:rsidP="003275CE">
            <w:pPr>
              <w:ind w:firstLine="288"/>
              <w:jc w:val="right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152A5B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2008</w:t>
            </w:r>
          </w:p>
        </w:tc>
        <w:tc>
          <w:tcPr>
            <w:tcW w:w="131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903C99" w14:textId="77777777" w:rsidR="00E76C4D" w:rsidRPr="00152A5B" w:rsidRDefault="00E76C4D" w:rsidP="003275CE">
            <w:pPr>
              <w:ind w:firstLine="288"/>
              <w:jc w:val="right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152A5B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2011</w:t>
            </w:r>
          </w:p>
        </w:tc>
        <w:tc>
          <w:tcPr>
            <w:tcW w:w="1406" w:type="dxa"/>
            <w:tcBorders>
              <w:top w:val="double" w:sz="4" w:space="0" w:color="auto"/>
              <w:bottom w:val="single" w:sz="4" w:space="0" w:color="auto"/>
            </w:tcBorders>
          </w:tcPr>
          <w:p w14:paraId="2571882F" w14:textId="77777777" w:rsidR="00E76C4D" w:rsidRPr="00152A5B" w:rsidRDefault="00E76C4D" w:rsidP="003275CE">
            <w:pPr>
              <w:ind w:firstLine="288"/>
              <w:jc w:val="right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152A5B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2014</w:t>
            </w:r>
          </w:p>
        </w:tc>
      </w:tr>
      <w:tr w:rsidR="003275CE" w:rsidRPr="00260D80" w14:paraId="24A8767F" w14:textId="77777777" w:rsidTr="000C7B95">
        <w:trPr>
          <w:trHeight w:val="190"/>
          <w:jc w:val="center"/>
        </w:trPr>
        <w:tc>
          <w:tcPr>
            <w:tcW w:w="3292" w:type="dxa"/>
            <w:shd w:val="clear" w:color="auto" w:fill="auto"/>
            <w:vAlign w:val="center"/>
            <w:hideMark/>
          </w:tcPr>
          <w:p w14:paraId="1229FD13" w14:textId="77777777" w:rsidR="00E76C4D" w:rsidRPr="00E95FDB" w:rsidRDefault="00E76C4D" w:rsidP="003275CE">
            <w:pPr>
              <w:ind w:firstLine="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95FDB">
              <w:rPr>
                <w:rFonts w:ascii="Times New Roman" w:eastAsia="Times New Roman" w:hAnsi="Times New Roman" w:cs="Times New Roman"/>
                <w:sz w:val="22"/>
                <w:szCs w:val="22"/>
              </w:rPr>
              <w:t>Exports of goods and services (current, m. €)</w:t>
            </w:r>
          </w:p>
        </w:tc>
        <w:tc>
          <w:tcPr>
            <w:tcW w:w="1263" w:type="dxa"/>
            <w:shd w:val="clear" w:color="auto" w:fill="auto"/>
            <w:noWrap/>
            <w:vAlign w:val="center"/>
            <w:hideMark/>
          </w:tcPr>
          <w:p w14:paraId="6FDE7E4B" w14:textId="77777777" w:rsidR="00E76C4D" w:rsidRPr="00152A5B" w:rsidRDefault="00E76C4D" w:rsidP="003275CE">
            <w:pPr>
              <w:ind w:firstLine="288"/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  <w:r w:rsidRPr="00152A5B"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  <w:t>595.4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14:paraId="459FEC85" w14:textId="77777777" w:rsidR="00E76C4D" w:rsidRPr="00152A5B" w:rsidRDefault="00E76C4D" w:rsidP="003275CE">
            <w:pPr>
              <w:ind w:firstLine="288"/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  <w:r w:rsidRPr="00152A5B"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  <w:t>944.4</w:t>
            </w:r>
          </w:p>
        </w:tc>
        <w:tc>
          <w:tcPr>
            <w:tcW w:w="1406" w:type="dxa"/>
            <w:vAlign w:val="center"/>
          </w:tcPr>
          <w:p w14:paraId="23418C1A" w14:textId="77777777" w:rsidR="00E76C4D" w:rsidRPr="00152A5B" w:rsidRDefault="00E76C4D" w:rsidP="003275CE">
            <w:pPr>
              <w:ind w:firstLine="288"/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  <w:r w:rsidRPr="00152A5B"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  <w:t>1095.2</w:t>
            </w:r>
          </w:p>
        </w:tc>
      </w:tr>
      <w:tr w:rsidR="003275CE" w:rsidRPr="00260D80" w14:paraId="3485D44E" w14:textId="77777777" w:rsidTr="000C7B95">
        <w:trPr>
          <w:trHeight w:val="73"/>
          <w:jc w:val="center"/>
        </w:trPr>
        <w:tc>
          <w:tcPr>
            <w:tcW w:w="3292" w:type="dxa"/>
            <w:shd w:val="clear" w:color="auto" w:fill="auto"/>
            <w:vAlign w:val="center"/>
          </w:tcPr>
          <w:p w14:paraId="6DD6B0B0" w14:textId="77777777" w:rsidR="00E76C4D" w:rsidRPr="00E95FDB" w:rsidRDefault="00E76C4D" w:rsidP="003275CE">
            <w:pPr>
              <w:ind w:left="222" w:hanging="3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95FDB">
              <w:rPr>
                <w:rFonts w:ascii="Times New Roman" w:eastAsia="Times New Roman" w:hAnsi="Times New Roman" w:cs="Times New Roman"/>
                <w:sz w:val="22"/>
                <w:szCs w:val="22"/>
              </w:rPr>
              <w:t>Goods exports (current, m €)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604545DF" w14:textId="77777777" w:rsidR="00E76C4D" w:rsidRPr="00152A5B" w:rsidRDefault="00E76C4D" w:rsidP="003275CE">
            <w:pPr>
              <w:ind w:firstLine="288"/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  <w:r w:rsidRPr="00152A5B"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  <w:t>198.5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5C96789E" w14:textId="77777777" w:rsidR="00E76C4D" w:rsidRPr="00152A5B" w:rsidRDefault="00E76C4D" w:rsidP="003275CE">
            <w:pPr>
              <w:ind w:firstLine="288"/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  <w:r w:rsidRPr="00152A5B"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  <w:t>319.2</w:t>
            </w:r>
          </w:p>
        </w:tc>
        <w:tc>
          <w:tcPr>
            <w:tcW w:w="1406" w:type="dxa"/>
            <w:vAlign w:val="center"/>
          </w:tcPr>
          <w:p w14:paraId="139E21DD" w14:textId="77777777" w:rsidR="00E76C4D" w:rsidRPr="00152A5B" w:rsidRDefault="00E76C4D" w:rsidP="003275CE">
            <w:pPr>
              <w:ind w:firstLine="288"/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  <w:r w:rsidRPr="00152A5B"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  <w:t>324.6</w:t>
            </w:r>
          </w:p>
        </w:tc>
      </w:tr>
      <w:tr w:rsidR="003275CE" w:rsidRPr="00260D80" w14:paraId="3A2CEA9C" w14:textId="77777777" w:rsidTr="000C7B95">
        <w:trPr>
          <w:trHeight w:val="73"/>
          <w:jc w:val="center"/>
        </w:trPr>
        <w:tc>
          <w:tcPr>
            <w:tcW w:w="3292" w:type="dxa"/>
            <w:shd w:val="clear" w:color="auto" w:fill="auto"/>
            <w:vAlign w:val="center"/>
          </w:tcPr>
          <w:p w14:paraId="0D2E96F2" w14:textId="77777777" w:rsidR="00E76C4D" w:rsidRPr="00E95FDB" w:rsidRDefault="00E76C4D" w:rsidP="003275CE">
            <w:pPr>
              <w:ind w:left="222" w:hanging="3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95FDB">
              <w:rPr>
                <w:rFonts w:ascii="Times New Roman" w:eastAsia="Times New Roman" w:hAnsi="Times New Roman" w:cs="Times New Roman"/>
                <w:sz w:val="22"/>
                <w:szCs w:val="22"/>
              </w:rPr>
              <w:t>Service exports (current, m €)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4F6176E3" w14:textId="77777777" w:rsidR="00E76C4D" w:rsidRPr="00152A5B" w:rsidRDefault="00E76C4D" w:rsidP="003275CE">
            <w:pPr>
              <w:ind w:firstLine="288"/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  <w:r w:rsidRPr="00152A5B"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  <w:t>396.9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691ACC69" w14:textId="77777777" w:rsidR="00E76C4D" w:rsidRPr="00152A5B" w:rsidRDefault="00E76C4D" w:rsidP="003275CE">
            <w:pPr>
              <w:ind w:firstLine="288"/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  <w:r w:rsidRPr="00152A5B"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  <w:t>625.2</w:t>
            </w:r>
          </w:p>
        </w:tc>
        <w:tc>
          <w:tcPr>
            <w:tcW w:w="1406" w:type="dxa"/>
            <w:vAlign w:val="center"/>
          </w:tcPr>
          <w:p w14:paraId="4420D234" w14:textId="77777777" w:rsidR="00E76C4D" w:rsidRPr="00152A5B" w:rsidRDefault="00E76C4D" w:rsidP="003275CE">
            <w:pPr>
              <w:ind w:firstLine="288"/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  <w:r w:rsidRPr="00152A5B"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  <w:t>770.6</w:t>
            </w:r>
          </w:p>
        </w:tc>
      </w:tr>
      <w:tr w:rsidR="003275CE" w:rsidRPr="00260D80" w14:paraId="6867EC45" w14:textId="77777777" w:rsidTr="000C7B95">
        <w:trPr>
          <w:trHeight w:val="137"/>
          <w:jc w:val="center"/>
        </w:trPr>
        <w:tc>
          <w:tcPr>
            <w:tcW w:w="3292" w:type="dxa"/>
            <w:shd w:val="clear" w:color="auto" w:fill="auto"/>
            <w:vAlign w:val="center"/>
            <w:hideMark/>
          </w:tcPr>
          <w:p w14:paraId="683134B7" w14:textId="77777777" w:rsidR="00E76C4D" w:rsidRPr="00E95FDB" w:rsidRDefault="00E76C4D" w:rsidP="003275C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95FDB">
              <w:rPr>
                <w:rFonts w:ascii="Times New Roman" w:eastAsia="Times New Roman" w:hAnsi="Times New Roman" w:cs="Times New Roman"/>
                <w:sz w:val="22"/>
                <w:szCs w:val="22"/>
              </w:rPr>
              <w:t>Exports of goods and services (% of GDP)</w:t>
            </w:r>
          </w:p>
        </w:tc>
        <w:tc>
          <w:tcPr>
            <w:tcW w:w="1263" w:type="dxa"/>
            <w:shd w:val="clear" w:color="auto" w:fill="auto"/>
            <w:noWrap/>
            <w:vAlign w:val="center"/>
            <w:hideMark/>
          </w:tcPr>
          <w:p w14:paraId="42C04CB6" w14:textId="77777777" w:rsidR="00E76C4D" w:rsidRPr="00152A5B" w:rsidRDefault="00E76C4D" w:rsidP="003275CE">
            <w:pPr>
              <w:ind w:firstLine="288"/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  <w:r w:rsidRPr="00152A5B"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  <w:t>15.1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14:paraId="664BC219" w14:textId="77777777" w:rsidR="00E76C4D" w:rsidRPr="00152A5B" w:rsidRDefault="00E76C4D" w:rsidP="003275CE">
            <w:pPr>
              <w:ind w:firstLine="288"/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  <w:r w:rsidRPr="00152A5B"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  <w:t>19.8</w:t>
            </w:r>
          </w:p>
        </w:tc>
        <w:tc>
          <w:tcPr>
            <w:tcW w:w="1406" w:type="dxa"/>
            <w:vAlign w:val="center"/>
          </w:tcPr>
          <w:p w14:paraId="03622D13" w14:textId="77777777" w:rsidR="00E76C4D" w:rsidRPr="00152A5B" w:rsidRDefault="00E76C4D" w:rsidP="003275CE">
            <w:pPr>
              <w:ind w:firstLine="288"/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  <w:r w:rsidRPr="00152A5B"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  <w:t>19.9</w:t>
            </w:r>
          </w:p>
        </w:tc>
      </w:tr>
      <w:tr w:rsidR="003275CE" w:rsidRPr="00260D80" w14:paraId="4DF30117" w14:textId="77777777" w:rsidTr="000C7B95">
        <w:trPr>
          <w:trHeight w:val="209"/>
          <w:jc w:val="center"/>
        </w:trPr>
        <w:tc>
          <w:tcPr>
            <w:tcW w:w="3292" w:type="dxa"/>
            <w:shd w:val="clear" w:color="auto" w:fill="auto"/>
            <w:vAlign w:val="center"/>
            <w:hideMark/>
          </w:tcPr>
          <w:p w14:paraId="75E00002" w14:textId="77777777" w:rsidR="00E76C4D" w:rsidRPr="00E95FDB" w:rsidRDefault="00E76C4D" w:rsidP="003275C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95FDB">
              <w:rPr>
                <w:rFonts w:ascii="Times New Roman" w:eastAsia="Times New Roman" w:hAnsi="Times New Roman" w:cs="Times New Roman"/>
                <w:sz w:val="22"/>
                <w:szCs w:val="22"/>
              </w:rPr>
              <w:t>Imports of goods and services (current, m €)</w:t>
            </w:r>
          </w:p>
        </w:tc>
        <w:tc>
          <w:tcPr>
            <w:tcW w:w="1263" w:type="dxa"/>
            <w:shd w:val="clear" w:color="auto" w:fill="auto"/>
            <w:noWrap/>
            <w:vAlign w:val="center"/>
            <w:hideMark/>
          </w:tcPr>
          <w:p w14:paraId="2D6D50FA" w14:textId="3BB8F7C9" w:rsidR="00E76C4D" w:rsidRPr="00152A5B" w:rsidRDefault="00E76C4D" w:rsidP="002828A7">
            <w:pPr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  <w:r w:rsidRPr="00152A5B"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  <w:t xml:space="preserve">2,178.5 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14:paraId="55C85139" w14:textId="4206AAF1" w:rsidR="00E76C4D" w:rsidRPr="00152A5B" w:rsidRDefault="00E76C4D" w:rsidP="002828A7">
            <w:pPr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  <w:r w:rsidRPr="00152A5B"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  <w:t xml:space="preserve">2,861.2 </w:t>
            </w:r>
          </w:p>
        </w:tc>
        <w:tc>
          <w:tcPr>
            <w:tcW w:w="1406" w:type="dxa"/>
            <w:vAlign w:val="center"/>
          </w:tcPr>
          <w:p w14:paraId="00E0DFB6" w14:textId="14D8BFFD" w:rsidR="00E76C4D" w:rsidRPr="00152A5B" w:rsidRDefault="00E76C4D" w:rsidP="002828A7">
            <w:pPr>
              <w:ind w:firstLine="288"/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  <w:r w:rsidRPr="00152A5B"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  <w:t xml:space="preserve">2,972.7 </w:t>
            </w:r>
          </w:p>
        </w:tc>
      </w:tr>
      <w:tr w:rsidR="003275CE" w:rsidRPr="00260D80" w14:paraId="0D3FDEEB" w14:textId="77777777" w:rsidTr="000C7B95">
        <w:trPr>
          <w:trHeight w:val="209"/>
          <w:jc w:val="center"/>
        </w:trPr>
        <w:tc>
          <w:tcPr>
            <w:tcW w:w="3292" w:type="dxa"/>
            <w:shd w:val="clear" w:color="auto" w:fill="auto"/>
            <w:vAlign w:val="center"/>
          </w:tcPr>
          <w:p w14:paraId="7E7D9D21" w14:textId="77777777" w:rsidR="00E76C4D" w:rsidRPr="00E95FDB" w:rsidRDefault="00E76C4D" w:rsidP="003275CE">
            <w:pPr>
              <w:ind w:left="222" w:hanging="3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95FDB">
              <w:rPr>
                <w:rFonts w:ascii="Times New Roman" w:eastAsia="Times New Roman" w:hAnsi="Times New Roman" w:cs="Times New Roman"/>
                <w:sz w:val="22"/>
                <w:szCs w:val="22"/>
              </w:rPr>
              <w:t>Goods imports (current, m €)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3401F51F" w14:textId="5A49F79E" w:rsidR="00E76C4D" w:rsidRPr="00152A5B" w:rsidRDefault="00E76C4D" w:rsidP="002828A7">
            <w:pPr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  <w:r w:rsidRPr="00152A5B"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  <w:t xml:space="preserve">1,928.2 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4A258319" w14:textId="62AD56C4" w:rsidR="00E76C4D" w:rsidRPr="00152A5B" w:rsidRDefault="00E76C4D" w:rsidP="002828A7">
            <w:pPr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  <w:r w:rsidRPr="00152A5B"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  <w:t xml:space="preserve">2,492.4 </w:t>
            </w:r>
          </w:p>
        </w:tc>
        <w:tc>
          <w:tcPr>
            <w:tcW w:w="1406" w:type="dxa"/>
            <w:vAlign w:val="center"/>
          </w:tcPr>
          <w:p w14:paraId="1C2331F2" w14:textId="2EE68C66" w:rsidR="00E76C4D" w:rsidRPr="00152A5B" w:rsidRDefault="00E76C4D" w:rsidP="002828A7">
            <w:pPr>
              <w:ind w:firstLine="288"/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  <w:r w:rsidRPr="00152A5B"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  <w:t xml:space="preserve">2,538.2 </w:t>
            </w:r>
          </w:p>
        </w:tc>
      </w:tr>
      <w:tr w:rsidR="003275CE" w:rsidRPr="00260D80" w14:paraId="72FEBA76" w14:textId="77777777" w:rsidTr="000C7B95">
        <w:trPr>
          <w:trHeight w:val="73"/>
          <w:jc w:val="center"/>
        </w:trPr>
        <w:tc>
          <w:tcPr>
            <w:tcW w:w="3292" w:type="dxa"/>
            <w:shd w:val="clear" w:color="auto" w:fill="auto"/>
            <w:vAlign w:val="center"/>
          </w:tcPr>
          <w:p w14:paraId="66579437" w14:textId="77777777" w:rsidR="00E76C4D" w:rsidRPr="00E95FDB" w:rsidRDefault="00E76C4D" w:rsidP="003275CE">
            <w:pPr>
              <w:ind w:left="222" w:hanging="3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95FDB">
              <w:rPr>
                <w:rFonts w:ascii="Times New Roman" w:eastAsia="Times New Roman" w:hAnsi="Times New Roman" w:cs="Times New Roman"/>
                <w:sz w:val="22"/>
                <w:szCs w:val="22"/>
              </w:rPr>
              <w:t>Service imports (current, m €)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48DE00AF" w14:textId="77777777" w:rsidR="00E76C4D" w:rsidRPr="00152A5B" w:rsidRDefault="00E76C4D" w:rsidP="003275CE">
            <w:pPr>
              <w:ind w:firstLine="288"/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  <w:r w:rsidRPr="00152A5B"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  <w:t>250.3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07CD1956" w14:textId="77777777" w:rsidR="00E76C4D" w:rsidRPr="00152A5B" w:rsidRDefault="00E76C4D" w:rsidP="003275CE">
            <w:pPr>
              <w:ind w:firstLine="288"/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  <w:r w:rsidRPr="00152A5B"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  <w:t>368.9</w:t>
            </w:r>
          </w:p>
        </w:tc>
        <w:tc>
          <w:tcPr>
            <w:tcW w:w="1406" w:type="dxa"/>
            <w:vAlign w:val="center"/>
          </w:tcPr>
          <w:p w14:paraId="6251B0F6" w14:textId="77777777" w:rsidR="00E76C4D" w:rsidRPr="00152A5B" w:rsidRDefault="00E76C4D" w:rsidP="003275CE">
            <w:pPr>
              <w:ind w:firstLine="288"/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  <w:r w:rsidRPr="00152A5B"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  <w:t>434.5</w:t>
            </w:r>
          </w:p>
        </w:tc>
      </w:tr>
      <w:tr w:rsidR="003275CE" w:rsidRPr="00260D80" w14:paraId="22E3283B" w14:textId="77777777" w:rsidTr="000C7B95">
        <w:trPr>
          <w:trHeight w:val="137"/>
          <w:jc w:val="center"/>
        </w:trPr>
        <w:tc>
          <w:tcPr>
            <w:tcW w:w="3292" w:type="dxa"/>
            <w:shd w:val="clear" w:color="auto" w:fill="auto"/>
            <w:vAlign w:val="center"/>
          </w:tcPr>
          <w:p w14:paraId="31442CB1" w14:textId="77777777" w:rsidR="00E76C4D" w:rsidRPr="00E95FDB" w:rsidRDefault="00E76C4D" w:rsidP="003275C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95FDB">
              <w:rPr>
                <w:rFonts w:ascii="Times New Roman" w:eastAsia="Times New Roman" w:hAnsi="Times New Roman" w:cs="Times New Roman"/>
                <w:sz w:val="22"/>
                <w:szCs w:val="22"/>
              </w:rPr>
              <w:t>Imports of goods and services (% of GDP)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1F734477" w14:textId="77777777" w:rsidR="00E76C4D" w:rsidRPr="00152A5B" w:rsidRDefault="00E76C4D" w:rsidP="003275CE">
            <w:pPr>
              <w:ind w:firstLine="288"/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  <w:r w:rsidRPr="00152A5B"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  <w:t>55.3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24164B9E" w14:textId="77777777" w:rsidR="00E76C4D" w:rsidRPr="00152A5B" w:rsidRDefault="00E76C4D" w:rsidP="003275CE">
            <w:pPr>
              <w:ind w:firstLine="288"/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  <w:r w:rsidRPr="00152A5B"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  <w:t>59.9</w:t>
            </w:r>
          </w:p>
        </w:tc>
        <w:tc>
          <w:tcPr>
            <w:tcW w:w="1406" w:type="dxa"/>
            <w:vAlign w:val="center"/>
          </w:tcPr>
          <w:p w14:paraId="065FC3B2" w14:textId="77777777" w:rsidR="00E76C4D" w:rsidRPr="00152A5B" w:rsidRDefault="00E76C4D" w:rsidP="003275CE">
            <w:pPr>
              <w:ind w:firstLine="288"/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  <w:r w:rsidRPr="00152A5B"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  <w:t>54.0</w:t>
            </w:r>
          </w:p>
        </w:tc>
      </w:tr>
      <w:tr w:rsidR="003275CE" w:rsidRPr="00260D80" w14:paraId="39BB42BC" w14:textId="77777777" w:rsidTr="000C7B95">
        <w:trPr>
          <w:trHeight w:val="73"/>
          <w:jc w:val="center"/>
        </w:trPr>
        <w:tc>
          <w:tcPr>
            <w:tcW w:w="3292" w:type="dxa"/>
            <w:shd w:val="clear" w:color="auto" w:fill="auto"/>
            <w:vAlign w:val="center"/>
            <w:hideMark/>
          </w:tcPr>
          <w:p w14:paraId="7F8B2B7B" w14:textId="77777777" w:rsidR="00E76C4D" w:rsidRPr="00E95FDB" w:rsidRDefault="00E76C4D" w:rsidP="003275C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95FDB">
              <w:rPr>
                <w:rFonts w:ascii="Times New Roman" w:eastAsia="Times New Roman" w:hAnsi="Times New Roman" w:cs="Times New Roman"/>
                <w:sz w:val="22"/>
                <w:szCs w:val="22"/>
              </w:rPr>
              <w:t>Trade balance on goods and services (current, m €)</w:t>
            </w:r>
          </w:p>
        </w:tc>
        <w:tc>
          <w:tcPr>
            <w:tcW w:w="1263" w:type="dxa"/>
            <w:shd w:val="clear" w:color="auto" w:fill="auto"/>
            <w:noWrap/>
            <w:vAlign w:val="center"/>
            <w:hideMark/>
          </w:tcPr>
          <w:p w14:paraId="19101BE6" w14:textId="77777777" w:rsidR="00E76C4D" w:rsidRPr="00152A5B" w:rsidRDefault="00E76C4D" w:rsidP="003275CE">
            <w:pPr>
              <w:ind w:firstLine="288"/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  <w:r w:rsidRPr="00152A5B"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  <w:t>-1,583.2</w:t>
            </w:r>
          </w:p>
        </w:tc>
        <w:tc>
          <w:tcPr>
            <w:tcW w:w="1316" w:type="dxa"/>
            <w:shd w:val="clear" w:color="auto" w:fill="auto"/>
            <w:vAlign w:val="center"/>
            <w:hideMark/>
          </w:tcPr>
          <w:p w14:paraId="1A0B171B" w14:textId="77777777" w:rsidR="00E76C4D" w:rsidRPr="00152A5B" w:rsidRDefault="00E76C4D" w:rsidP="003275CE">
            <w:pPr>
              <w:ind w:firstLine="288"/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  <w:r w:rsidRPr="00152A5B"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  <w:t>-1,916.9</w:t>
            </w:r>
          </w:p>
        </w:tc>
        <w:tc>
          <w:tcPr>
            <w:tcW w:w="1406" w:type="dxa"/>
            <w:vAlign w:val="center"/>
          </w:tcPr>
          <w:p w14:paraId="36822467" w14:textId="77777777" w:rsidR="00E76C4D" w:rsidRPr="00152A5B" w:rsidRDefault="00E76C4D" w:rsidP="003275CE">
            <w:pPr>
              <w:ind w:firstLine="288"/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  <w:r w:rsidRPr="00152A5B"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  <w:t>-1,877.6</w:t>
            </w:r>
          </w:p>
        </w:tc>
      </w:tr>
      <w:tr w:rsidR="003275CE" w:rsidRPr="00260D80" w14:paraId="6FC13E39" w14:textId="77777777" w:rsidTr="000C7B95">
        <w:trPr>
          <w:trHeight w:val="216"/>
          <w:jc w:val="center"/>
        </w:trPr>
        <w:tc>
          <w:tcPr>
            <w:tcW w:w="3292" w:type="dxa"/>
            <w:shd w:val="clear" w:color="auto" w:fill="auto"/>
            <w:vAlign w:val="center"/>
          </w:tcPr>
          <w:p w14:paraId="5FFBEC6E" w14:textId="77777777" w:rsidR="00E76C4D" w:rsidRPr="00E95FDB" w:rsidRDefault="00E76C4D" w:rsidP="003275CE">
            <w:pPr>
              <w:tabs>
                <w:tab w:val="left" w:pos="2432"/>
              </w:tabs>
              <w:ind w:left="222" w:hanging="3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95FDB">
              <w:rPr>
                <w:rFonts w:ascii="Times New Roman" w:eastAsia="Times New Roman" w:hAnsi="Times New Roman" w:cs="Times New Roman"/>
                <w:sz w:val="22"/>
                <w:szCs w:val="22"/>
              </w:rPr>
              <w:t>Trade balance in goods (current, m €)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5EAA1266" w14:textId="5DA4EDCF" w:rsidR="00E76C4D" w:rsidRPr="00152A5B" w:rsidRDefault="00E76C4D" w:rsidP="002828A7">
            <w:pPr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  <w:r w:rsidRPr="00152A5B"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  <w:t>1,729.8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3D90B61C" w14:textId="1B44065A" w:rsidR="00E76C4D" w:rsidRPr="00152A5B" w:rsidRDefault="00E76C4D" w:rsidP="002828A7">
            <w:pPr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  <w:r w:rsidRPr="00152A5B"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  <w:t>2,173.2</w:t>
            </w:r>
          </w:p>
        </w:tc>
        <w:tc>
          <w:tcPr>
            <w:tcW w:w="1406" w:type="dxa"/>
            <w:vAlign w:val="center"/>
          </w:tcPr>
          <w:p w14:paraId="73A72EF4" w14:textId="1BB4709B" w:rsidR="00E76C4D" w:rsidRPr="00152A5B" w:rsidRDefault="00E76C4D" w:rsidP="002828A7">
            <w:pPr>
              <w:ind w:firstLine="288"/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  <w:r w:rsidRPr="00152A5B"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  <w:t>2,213.7</w:t>
            </w:r>
          </w:p>
        </w:tc>
      </w:tr>
      <w:tr w:rsidR="003275CE" w:rsidRPr="00260D80" w14:paraId="3F7D6CF0" w14:textId="77777777" w:rsidTr="000C7B95">
        <w:trPr>
          <w:trHeight w:val="73"/>
          <w:jc w:val="center"/>
        </w:trPr>
        <w:tc>
          <w:tcPr>
            <w:tcW w:w="32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37D0D03" w14:textId="77777777" w:rsidR="00E76C4D" w:rsidRPr="00E95FDB" w:rsidRDefault="00E76C4D" w:rsidP="003275CE">
            <w:pPr>
              <w:ind w:left="222" w:hanging="3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95FDB">
              <w:rPr>
                <w:rFonts w:ascii="Times New Roman" w:eastAsia="Times New Roman" w:hAnsi="Times New Roman" w:cs="Times New Roman"/>
                <w:sz w:val="22"/>
                <w:szCs w:val="22"/>
              </w:rPr>
              <w:t>Trade balance in services (current, m €)</w:t>
            </w:r>
          </w:p>
        </w:tc>
        <w:tc>
          <w:tcPr>
            <w:tcW w:w="1263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4F69131E" w14:textId="77777777" w:rsidR="00E76C4D" w:rsidRPr="00152A5B" w:rsidRDefault="00E76C4D" w:rsidP="003275CE">
            <w:pPr>
              <w:ind w:firstLine="288"/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  <w:r w:rsidRPr="00152A5B"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  <w:t>146.6</w:t>
            </w:r>
          </w:p>
        </w:tc>
        <w:tc>
          <w:tcPr>
            <w:tcW w:w="131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0F3660" w14:textId="77777777" w:rsidR="00E76C4D" w:rsidRPr="00152A5B" w:rsidRDefault="00E76C4D" w:rsidP="003275CE">
            <w:pPr>
              <w:ind w:firstLine="288"/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  <w:r w:rsidRPr="00152A5B"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  <w:t>256.3</w:t>
            </w:r>
          </w:p>
        </w:tc>
        <w:tc>
          <w:tcPr>
            <w:tcW w:w="1406" w:type="dxa"/>
            <w:tcBorders>
              <w:bottom w:val="double" w:sz="4" w:space="0" w:color="auto"/>
            </w:tcBorders>
            <w:vAlign w:val="center"/>
          </w:tcPr>
          <w:p w14:paraId="1BA5B780" w14:textId="77777777" w:rsidR="00E76C4D" w:rsidRPr="00152A5B" w:rsidRDefault="00E76C4D" w:rsidP="003275CE">
            <w:pPr>
              <w:ind w:firstLine="288"/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  <w:r w:rsidRPr="00152A5B"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  <w:t>336.1</w:t>
            </w:r>
          </w:p>
        </w:tc>
      </w:tr>
    </w:tbl>
    <w:p w14:paraId="49C8F8F2" w14:textId="0C29D278" w:rsidR="00E76C4D" w:rsidRPr="00E906FD" w:rsidRDefault="00E76C4D" w:rsidP="00466EA1">
      <w:pPr>
        <w:rPr>
          <w:rFonts w:ascii="Times New Roman" w:hAnsi="Times New Roman" w:cs="Times New Roman"/>
          <w:sz w:val="20"/>
          <w:szCs w:val="20"/>
        </w:rPr>
      </w:pPr>
      <w:r w:rsidRPr="00260D80">
        <w:rPr>
          <w:rFonts w:ascii="Times New Roman" w:eastAsia="MS Mincho" w:hAnsi="Times New Roman" w:cs="Times New Roman"/>
          <w:i/>
          <w:spacing w:val="-8"/>
          <w:sz w:val="20"/>
          <w:szCs w:val="20"/>
        </w:rPr>
        <w:t>Source</w:t>
      </w:r>
      <w:r w:rsidRPr="00260D80">
        <w:rPr>
          <w:rFonts w:ascii="Times New Roman" w:eastAsia="MS Mincho" w:hAnsi="Times New Roman" w:cs="Times New Roman"/>
          <w:spacing w:val="-8"/>
          <w:sz w:val="20"/>
          <w:szCs w:val="20"/>
        </w:rPr>
        <w:t>: Central Bank of Kosovo (various years)</w:t>
      </w:r>
    </w:p>
    <w:p w14:paraId="7628FE64" w14:textId="77777777" w:rsidR="00E76C4D" w:rsidRPr="00466EA1" w:rsidRDefault="00E76C4D" w:rsidP="00466EA1">
      <w:pPr>
        <w:ind w:firstLine="288"/>
        <w:jc w:val="both"/>
        <w:rPr>
          <w:rFonts w:ascii="Times New Roman" w:hAnsi="Times New Roman" w:cs="Times New Roman"/>
          <w:sz w:val="22"/>
          <w:szCs w:val="22"/>
        </w:rPr>
      </w:pPr>
    </w:p>
    <w:p w14:paraId="00C5E567" w14:textId="77777777" w:rsidR="00E95FDB" w:rsidRDefault="00E95FDB" w:rsidP="008A51FB">
      <w:pPr>
        <w:ind w:left="360" w:right="302"/>
        <w:rPr>
          <w:rFonts w:ascii="Times New Roman" w:hAnsi="Times New Roman" w:cs="Times New Roman"/>
          <w:b/>
          <w:sz w:val="22"/>
          <w:szCs w:val="22"/>
        </w:rPr>
      </w:pPr>
    </w:p>
    <w:p w14:paraId="24154448" w14:textId="2C59C7DB" w:rsidR="00E76C4D" w:rsidRPr="00152A5B" w:rsidRDefault="000C7B95" w:rsidP="008A51FB">
      <w:pPr>
        <w:ind w:left="360" w:right="302"/>
        <w:rPr>
          <w:rFonts w:ascii="Times New Roman" w:hAnsi="Times New Roman" w:cs="Times New Roman"/>
          <w:sz w:val="22"/>
          <w:szCs w:val="22"/>
        </w:rPr>
      </w:pPr>
      <w:r w:rsidRPr="00152A5B">
        <w:rPr>
          <w:rFonts w:ascii="Times New Roman" w:hAnsi="Times New Roman" w:cs="Times New Roman"/>
          <w:b/>
          <w:sz w:val="22"/>
          <w:szCs w:val="22"/>
        </w:rPr>
        <w:t>TABLE 2</w:t>
      </w:r>
      <w:r w:rsidR="00BC117C" w:rsidRPr="00152A5B">
        <w:rPr>
          <w:rFonts w:ascii="Times New Roman" w:hAnsi="Times New Roman" w:cs="Times New Roman"/>
          <w:sz w:val="22"/>
          <w:szCs w:val="22"/>
        </w:rPr>
        <w:t xml:space="preserve">. </w:t>
      </w:r>
      <w:r w:rsidR="00E76C4D" w:rsidRPr="00152A5B">
        <w:rPr>
          <w:rFonts w:ascii="Times New Roman" w:hAnsi="Times New Roman" w:cs="Times New Roman"/>
          <w:i/>
          <w:iCs/>
          <w:spacing w:val="-2"/>
          <w:sz w:val="22"/>
          <w:szCs w:val="22"/>
        </w:rPr>
        <w:t>Kosovo’s exports and imports of goods with the EU and Turkey (</w:t>
      </w:r>
      <w:r w:rsidR="00E76C4D" w:rsidRPr="00152A5B">
        <w:rPr>
          <w:rFonts w:ascii="Times New Roman" w:eastAsia="Times New Roman" w:hAnsi="Times New Roman" w:cs="Times New Roman"/>
          <w:i/>
          <w:iCs/>
          <w:spacing w:val="-2"/>
          <w:sz w:val="22"/>
          <w:szCs w:val="22"/>
        </w:rPr>
        <w:t>current, m. €)</w:t>
      </w:r>
    </w:p>
    <w:tbl>
      <w:tblPr>
        <w:tblW w:w="6708" w:type="dxa"/>
        <w:jc w:val="center"/>
        <w:tblLayout w:type="fixed"/>
        <w:tblLook w:val="04A0" w:firstRow="1" w:lastRow="0" w:firstColumn="1" w:lastColumn="0" w:noHBand="0" w:noVBand="1"/>
      </w:tblPr>
      <w:tblGrid>
        <w:gridCol w:w="2800"/>
        <w:gridCol w:w="1277"/>
        <w:gridCol w:w="1277"/>
        <w:gridCol w:w="1354"/>
      </w:tblGrid>
      <w:tr w:rsidR="00E76C4D" w:rsidRPr="00260D80" w14:paraId="213EC562" w14:textId="77777777" w:rsidTr="00152A5B">
        <w:trPr>
          <w:trHeight w:val="320"/>
          <w:jc w:val="center"/>
        </w:trPr>
        <w:tc>
          <w:tcPr>
            <w:tcW w:w="2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38D3" w14:textId="77777777" w:rsidR="00E76C4D" w:rsidRPr="00152A5B" w:rsidRDefault="00E76C4D" w:rsidP="002828A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eastAsia="Times New Roman" w:hAnsi="Times New Roman" w:cs="Times New Roman"/>
                <w:sz w:val="22"/>
                <w:szCs w:val="22"/>
              </w:rPr>
              <w:t>Indicators</w:t>
            </w:r>
          </w:p>
        </w:tc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D91C" w14:textId="77777777" w:rsidR="00E76C4D" w:rsidRPr="00152A5B" w:rsidRDefault="00E76C4D" w:rsidP="003275CE">
            <w:pPr>
              <w:ind w:firstLine="288"/>
              <w:jc w:val="right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152A5B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2012</w:t>
            </w:r>
          </w:p>
        </w:tc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D6D493" w14:textId="77777777" w:rsidR="00E76C4D" w:rsidRPr="00152A5B" w:rsidRDefault="00E76C4D" w:rsidP="003275CE">
            <w:pPr>
              <w:ind w:firstLine="288"/>
              <w:jc w:val="right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152A5B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2013</w:t>
            </w:r>
          </w:p>
        </w:tc>
        <w:tc>
          <w:tcPr>
            <w:tcW w:w="1354" w:type="dxa"/>
            <w:tcBorders>
              <w:top w:val="double" w:sz="4" w:space="0" w:color="auto"/>
              <w:bottom w:val="single" w:sz="4" w:space="0" w:color="auto"/>
            </w:tcBorders>
          </w:tcPr>
          <w:p w14:paraId="1CA5D73B" w14:textId="77777777" w:rsidR="00E76C4D" w:rsidRPr="00152A5B" w:rsidRDefault="00E76C4D" w:rsidP="003275CE">
            <w:pPr>
              <w:ind w:firstLine="288"/>
              <w:jc w:val="right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152A5B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2014</w:t>
            </w:r>
          </w:p>
        </w:tc>
      </w:tr>
      <w:tr w:rsidR="00E76C4D" w:rsidRPr="00260D80" w14:paraId="5D7E5596" w14:textId="77777777" w:rsidTr="00152A5B">
        <w:trPr>
          <w:trHeight w:val="63"/>
          <w:jc w:val="center"/>
        </w:trPr>
        <w:tc>
          <w:tcPr>
            <w:tcW w:w="2800" w:type="dxa"/>
            <w:shd w:val="clear" w:color="auto" w:fill="auto"/>
            <w:vAlign w:val="center"/>
            <w:hideMark/>
          </w:tcPr>
          <w:p w14:paraId="0026F701" w14:textId="77777777" w:rsidR="00E76C4D" w:rsidRPr="00152A5B" w:rsidRDefault="00E76C4D" w:rsidP="002828A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Exports with the EU </w:t>
            </w:r>
          </w:p>
        </w:tc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71DE8FE4" w14:textId="77777777" w:rsidR="00E76C4D" w:rsidRPr="00152A5B" w:rsidRDefault="00E76C4D" w:rsidP="003275CE">
            <w:pPr>
              <w:ind w:firstLine="288"/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  <w:r w:rsidRPr="00152A5B"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  <w:t>199.9</w:t>
            </w:r>
          </w:p>
        </w:tc>
        <w:tc>
          <w:tcPr>
            <w:tcW w:w="1277" w:type="dxa"/>
            <w:shd w:val="clear" w:color="auto" w:fill="auto"/>
            <w:vAlign w:val="bottom"/>
            <w:hideMark/>
          </w:tcPr>
          <w:p w14:paraId="02431652" w14:textId="77777777" w:rsidR="00E76C4D" w:rsidRPr="00152A5B" w:rsidRDefault="00E76C4D" w:rsidP="003275CE">
            <w:pPr>
              <w:ind w:firstLine="288"/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  <w:r w:rsidRPr="00152A5B"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  <w:t>204.9</w:t>
            </w:r>
          </w:p>
        </w:tc>
        <w:tc>
          <w:tcPr>
            <w:tcW w:w="1354" w:type="dxa"/>
            <w:vAlign w:val="bottom"/>
          </w:tcPr>
          <w:p w14:paraId="62BBE648" w14:textId="77777777" w:rsidR="00E76C4D" w:rsidRPr="00152A5B" w:rsidRDefault="00E76C4D" w:rsidP="003275CE">
            <w:pPr>
              <w:ind w:firstLine="288"/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  <w:r w:rsidRPr="00152A5B"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  <w:t>238.3</w:t>
            </w:r>
          </w:p>
        </w:tc>
      </w:tr>
      <w:tr w:rsidR="00E76C4D" w:rsidRPr="00260D80" w14:paraId="1AD9ECEC" w14:textId="77777777" w:rsidTr="00152A5B">
        <w:trPr>
          <w:trHeight w:val="73"/>
          <w:jc w:val="center"/>
        </w:trPr>
        <w:tc>
          <w:tcPr>
            <w:tcW w:w="2800" w:type="dxa"/>
            <w:shd w:val="clear" w:color="auto" w:fill="auto"/>
            <w:vAlign w:val="center"/>
            <w:hideMark/>
          </w:tcPr>
          <w:p w14:paraId="52A64EE2" w14:textId="77777777" w:rsidR="00E76C4D" w:rsidRPr="00152A5B" w:rsidRDefault="00E76C4D" w:rsidP="002828A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Imports with the EU 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512D0373" w14:textId="77777777" w:rsidR="00E76C4D" w:rsidRPr="00152A5B" w:rsidRDefault="00E76C4D" w:rsidP="003275CE">
            <w:pPr>
              <w:ind w:firstLine="288"/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  <w:r w:rsidRPr="00152A5B"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  <w:t>1,050.1</w:t>
            </w:r>
          </w:p>
        </w:tc>
        <w:tc>
          <w:tcPr>
            <w:tcW w:w="1277" w:type="dxa"/>
            <w:shd w:val="clear" w:color="auto" w:fill="auto"/>
            <w:hideMark/>
          </w:tcPr>
          <w:p w14:paraId="46EA3A54" w14:textId="77777777" w:rsidR="00E76C4D" w:rsidRPr="00152A5B" w:rsidRDefault="00E76C4D" w:rsidP="003275CE">
            <w:pPr>
              <w:ind w:firstLine="288"/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  <w:r w:rsidRPr="00152A5B"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  <w:t>1,083.2</w:t>
            </w:r>
          </w:p>
        </w:tc>
        <w:tc>
          <w:tcPr>
            <w:tcW w:w="1354" w:type="dxa"/>
          </w:tcPr>
          <w:p w14:paraId="22CC8368" w14:textId="77777777" w:rsidR="00E76C4D" w:rsidRPr="00152A5B" w:rsidRDefault="00E76C4D" w:rsidP="003275CE">
            <w:pPr>
              <w:ind w:firstLine="288"/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  <w:r w:rsidRPr="00152A5B"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  <w:t>1,081.1</w:t>
            </w:r>
          </w:p>
        </w:tc>
      </w:tr>
      <w:tr w:rsidR="00E76C4D" w:rsidRPr="00260D80" w14:paraId="341F354C" w14:textId="77777777" w:rsidTr="00152A5B">
        <w:trPr>
          <w:trHeight w:val="73"/>
          <w:jc w:val="center"/>
        </w:trPr>
        <w:tc>
          <w:tcPr>
            <w:tcW w:w="2800" w:type="dxa"/>
            <w:shd w:val="clear" w:color="auto" w:fill="auto"/>
            <w:vAlign w:val="center"/>
          </w:tcPr>
          <w:p w14:paraId="3562DFCB" w14:textId="77777777" w:rsidR="00E76C4D" w:rsidRPr="00152A5B" w:rsidRDefault="00E76C4D" w:rsidP="002828A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Trade balance with the EU </w:t>
            </w:r>
          </w:p>
        </w:tc>
        <w:tc>
          <w:tcPr>
            <w:tcW w:w="1277" w:type="dxa"/>
            <w:shd w:val="clear" w:color="auto" w:fill="auto"/>
            <w:noWrap/>
          </w:tcPr>
          <w:p w14:paraId="2D304238" w14:textId="77777777" w:rsidR="00E76C4D" w:rsidRPr="00152A5B" w:rsidRDefault="00E76C4D" w:rsidP="003275CE">
            <w:pPr>
              <w:ind w:firstLine="288"/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  <w:r w:rsidRPr="00152A5B"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  <w:t>-850.20</w:t>
            </w:r>
          </w:p>
        </w:tc>
        <w:tc>
          <w:tcPr>
            <w:tcW w:w="1277" w:type="dxa"/>
            <w:shd w:val="clear" w:color="auto" w:fill="auto"/>
          </w:tcPr>
          <w:p w14:paraId="2F691F28" w14:textId="77777777" w:rsidR="00E76C4D" w:rsidRPr="00152A5B" w:rsidRDefault="00E76C4D" w:rsidP="003275CE">
            <w:pPr>
              <w:ind w:firstLine="288"/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  <w:r w:rsidRPr="00152A5B"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  <w:t>-878.30</w:t>
            </w:r>
          </w:p>
        </w:tc>
        <w:tc>
          <w:tcPr>
            <w:tcW w:w="1354" w:type="dxa"/>
          </w:tcPr>
          <w:p w14:paraId="6EDD1FF0" w14:textId="77777777" w:rsidR="00E76C4D" w:rsidRPr="00152A5B" w:rsidRDefault="00E76C4D" w:rsidP="003275CE">
            <w:pPr>
              <w:ind w:firstLine="288"/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  <w:r w:rsidRPr="00152A5B"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  <w:t>-842.80</w:t>
            </w:r>
          </w:p>
        </w:tc>
      </w:tr>
      <w:tr w:rsidR="00E76C4D" w:rsidRPr="00260D80" w14:paraId="6C958550" w14:textId="77777777" w:rsidTr="00152A5B">
        <w:trPr>
          <w:trHeight w:val="225"/>
          <w:jc w:val="center"/>
        </w:trPr>
        <w:tc>
          <w:tcPr>
            <w:tcW w:w="2800" w:type="dxa"/>
            <w:shd w:val="clear" w:color="auto" w:fill="auto"/>
            <w:vAlign w:val="center"/>
            <w:hideMark/>
          </w:tcPr>
          <w:p w14:paraId="2C4C68DF" w14:textId="77777777" w:rsidR="00E76C4D" w:rsidRPr="00152A5B" w:rsidRDefault="00E76C4D" w:rsidP="002828A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Exports with Turkey 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14:paraId="0A5FF8B3" w14:textId="77777777" w:rsidR="00E76C4D" w:rsidRPr="00152A5B" w:rsidRDefault="00E76C4D" w:rsidP="003275CE">
            <w:pPr>
              <w:widowControl w:val="0"/>
              <w:autoSpaceDE w:val="0"/>
              <w:autoSpaceDN w:val="0"/>
              <w:adjustRightInd w:val="0"/>
              <w:ind w:firstLine="288"/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  <w:r w:rsidRPr="00152A5B"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  <w:t>11.4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ED49BA8" w14:textId="77777777" w:rsidR="00E76C4D" w:rsidRPr="00152A5B" w:rsidRDefault="00E76C4D" w:rsidP="003275CE">
            <w:pPr>
              <w:widowControl w:val="0"/>
              <w:autoSpaceDE w:val="0"/>
              <w:autoSpaceDN w:val="0"/>
              <w:adjustRightInd w:val="0"/>
              <w:ind w:firstLine="288"/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  <w:r w:rsidRPr="00152A5B"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  <w:t>7.4</w:t>
            </w:r>
          </w:p>
        </w:tc>
        <w:tc>
          <w:tcPr>
            <w:tcW w:w="1354" w:type="dxa"/>
            <w:vAlign w:val="center"/>
          </w:tcPr>
          <w:p w14:paraId="5D645173" w14:textId="77777777" w:rsidR="00E76C4D" w:rsidRPr="00152A5B" w:rsidRDefault="00E76C4D" w:rsidP="003275CE">
            <w:pPr>
              <w:widowControl w:val="0"/>
              <w:autoSpaceDE w:val="0"/>
              <w:autoSpaceDN w:val="0"/>
              <w:adjustRightInd w:val="0"/>
              <w:ind w:firstLine="288"/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  <w:r w:rsidRPr="00152A5B"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  <w:t>10.4</w:t>
            </w:r>
          </w:p>
        </w:tc>
      </w:tr>
      <w:tr w:rsidR="00E76C4D" w:rsidRPr="00260D80" w14:paraId="4A0FF251" w14:textId="77777777" w:rsidTr="00152A5B">
        <w:trPr>
          <w:trHeight w:val="73"/>
          <w:jc w:val="center"/>
        </w:trPr>
        <w:tc>
          <w:tcPr>
            <w:tcW w:w="2800" w:type="dxa"/>
            <w:shd w:val="clear" w:color="auto" w:fill="auto"/>
            <w:vAlign w:val="center"/>
            <w:hideMark/>
          </w:tcPr>
          <w:p w14:paraId="3F28346A" w14:textId="77777777" w:rsidR="00E76C4D" w:rsidRPr="00152A5B" w:rsidRDefault="00E76C4D" w:rsidP="002828A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Imports with Turkey 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046FA525" w14:textId="77777777" w:rsidR="00E76C4D" w:rsidRPr="00152A5B" w:rsidRDefault="00E76C4D" w:rsidP="003275CE">
            <w:pPr>
              <w:ind w:firstLine="288"/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  <w:r w:rsidRPr="00152A5B"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  <w:t>199.9</w:t>
            </w:r>
          </w:p>
        </w:tc>
        <w:tc>
          <w:tcPr>
            <w:tcW w:w="1277" w:type="dxa"/>
            <w:shd w:val="clear" w:color="auto" w:fill="auto"/>
            <w:hideMark/>
          </w:tcPr>
          <w:p w14:paraId="4A1F3FBA" w14:textId="77777777" w:rsidR="00E76C4D" w:rsidRPr="00152A5B" w:rsidRDefault="00E76C4D" w:rsidP="003275CE">
            <w:pPr>
              <w:ind w:firstLine="288"/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  <w:r w:rsidRPr="00152A5B"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  <w:t>204.9</w:t>
            </w:r>
          </w:p>
        </w:tc>
        <w:tc>
          <w:tcPr>
            <w:tcW w:w="1354" w:type="dxa"/>
          </w:tcPr>
          <w:p w14:paraId="2BDCA0C2" w14:textId="77777777" w:rsidR="00E76C4D" w:rsidRPr="00152A5B" w:rsidRDefault="00E76C4D" w:rsidP="003275CE">
            <w:pPr>
              <w:ind w:firstLine="288"/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  <w:r w:rsidRPr="00152A5B"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  <w:t>238.3</w:t>
            </w:r>
          </w:p>
        </w:tc>
      </w:tr>
      <w:tr w:rsidR="00E76C4D" w:rsidRPr="00260D80" w14:paraId="04B42776" w14:textId="77777777" w:rsidTr="00152A5B">
        <w:trPr>
          <w:trHeight w:val="73"/>
          <w:jc w:val="center"/>
        </w:trPr>
        <w:tc>
          <w:tcPr>
            <w:tcW w:w="280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0CFDDF9" w14:textId="77777777" w:rsidR="00E76C4D" w:rsidRPr="00152A5B" w:rsidRDefault="00E76C4D" w:rsidP="002828A7">
            <w:pPr>
              <w:ind w:left="-23"/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</w:rPr>
            </w:pPr>
            <w:r w:rsidRPr="00152A5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Trade balance with Turkey </w:t>
            </w:r>
          </w:p>
        </w:tc>
        <w:tc>
          <w:tcPr>
            <w:tcW w:w="1277" w:type="dxa"/>
            <w:tcBorders>
              <w:bottom w:val="double" w:sz="4" w:space="0" w:color="auto"/>
            </w:tcBorders>
            <w:shd w:val="clear" w:color="auto" w:fill="auto"/>
            <w:noWrap/>
          </w:tcPr>
          <w:p w14:paraId="21837D6A" w14:textId="77777777" w:rsidR="00E76C4D" w:rsidRPr="00152A5B" w:rsidRDefault="00E76C4D" w:rsidP="003275CE">
            <w:pPr>
              <w:ind w:firstLine="288"/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  <w:r w:rsidRPr="00152A5B"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  <w:t>-188.50</w:t>
            </w:r>
          </w:p>
        </w:tc>
        <w:tc>
          <w:tcPr>
            <w:tcW w:w="1277" w:type="dxa"/>
            <w:tcBorders>
              <w:bottom w:val="double" w:sz="4" w:space="0" w:color="auto"/>
            </w:tcBorders>
            <w:shd w:val="clear" w:color="auto" w:fill="auto"/>
          </w:tcPr>
          <w:p w14:paraId="4C6F0AD2" w14:textId="77777777" w:rsidR="00E76C4D" w:rsidRPr="00152A5B" w:rsidRDefault="00E76C4D" w:rsidP="003275CE">
            <w:pPr>
              <w:ind w:firstLine="288"/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  <w:r w:rsidRPr="00152A5B"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  <w:t>-197.50</w:t>
            </w:r>
          </w:p>
        </w:tc>
        <w:tc>
          <w:tcPr>
            <w:tcW w:w="1354" w:type="dxa"/>
            <w:tcBorders>
              <w:bottom w:val="double" w:sz="4" w:space="0" w:color="auto"/>
            </w:tcBorders>
          </w:tcPr>
          <w:p w14:paraId="5AFF06C9" w14:textId="77777777" w:rsidR="00E76C4D" w:rsidRPr="00152A5B" w:rsidRDefault="00E76C4D" w:rsidP="003275CE">
            <w:pPr>
              <w:ind w:firstLine="288"/>
              <w:jc w:val="right"/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</w:pPr>
            <w:r w:rsidRPr="00152A5B">
              <w:rPr>
                <w:rFonts w:ascii="Times New Roman" w:eastAsia="MS Mincho" w:hAnsi="Times New Roman" w:cs="Times New Roman"/>
                <w:sz w:val="22"/>
                <w:szCs w:val="22"/>
                <w:lang w:val="en-US"/>
              </w:rPr>
              <w:t>-227.90</w:t>
            </w:r>
          </w:p>
        </w:tc>
      </w:tr>
    </w:tbl>
    <w:p w14:paraId="0E5A9690" w14:textId="77777777" w:rsidR="00E76C4D" w:rsidRPr="00152A5B" w:rsidRDefault="00E76C4D" w:rsidP="00A74BCF">
      <w:pPr>
        <w:ind w:firstLine="288"/>
        <w:rPr>
          <w:rFonts w:ascii="Times New Roman" w:hAnsi="Times New Roman" w:cs="Times New Roman"/>
          <w:b/>
          <w:sz w:val="20"/>
          <w:szCs w:val="20"/>
        </w:rPr>
      </w:pPr>
      <w:r w:rsidRPr="00152A5B">
        <w:rPr>
          <w:rFonts w:ascii="Times New Roman" w:eastAsia="MS Mincho" w:hAnsi="Times New Roman" w:cs="Times New Roman"/>
          <w:i/>
          <w:spacing w:val="-8"/>
          <w:sz w:val="20"/>
          <w:szCs w:val="20"/>
        </w:rPr>
        <w:t>Source</w:t>
      </w:r>
      <w:r w:rsidRPr="00152A5B">
        <w:rPr>
          <w:rFonts w:ascii="Times New Roman" w:eastAsia="MS Mincho" w:hAnsi="Times New Roman" w:cs="Times New Roman"/>
          <w:spacing w:val="-8"/>
          <w:sz w:val="20"/>
          <w:szCs w:val="20"/>
        </w:rPr>
        <w:t>: Kosovo Agency of Statistics (various years)</w:t>
      </w:r>
    </w:p>
    <w:p w14:paraId="7B8FE702" w14:textId="77777777" w:rsidR="00FA3719" w:rsidRPr="00466EA1" w:rsidRDefault="00FA3719" w:rsidP="003275CE">
      <w:pPr>
        <w:ind w:firstLine="288"/>
        <w:rPr>
          <w:rFonts w:ascii="Times New Roman" w:hAnsi="Times New Roman" w:cs="Times New Roman"/>
          <w:sz w:val="22"/>
          <w:szCs w:val="22"/>
        </w:rPr>
      </w:pPr>
    </w:p>
    <w:p w14:paraId="7A4FEAF3" w14:textId="77777777" w:rsidR="00FB7DBA" w:rsidRPr="00466EA1" w:rsidRDefault="00FB7DBA" w:rsidP="00152A5B">
      <w:pPr>
        <w:rPr>
          <w:rFonts w:ascii="Times New Roman" w:hAnsi="Times New Roman" w:cs="Times New Roman"/>
          <w:sz w:val="22"/>
          <w:szCs w:val="22"/>
        </w:rPr>
      </w:pPr>
    </w:p>
    <w:p w14:paraId="2AE617CA" w14:textId="42FE5E4F" w:rsidR="00FA3719" w:rsidRPr="00152A5B" w:rsidRDefault="000C7B95" w:rsidP="00E95FDB">
      <w:pPr>
        <w:pStyle w:val="Caption"/>
        <w:keepNext/>
        <w:spacing w:after="0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</w:pPr>
      <w:bookmarkStart w:id="1" w:name="_Toc305169246"/>
      <w:r w:rsidRPr="00466EA1">
        <w:rPr>
          <w:rFonts w:ascii="Times New Roman" w:hAnsi="Times New Roman" w:cs="Times New Roman"/>
          <w:noProof/>
          <w:sz w:val="22"/>
          <w:szCs w:val="22"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658A96A2" wp14:editId="563B5CF9">
            <wp:simplePos x="0" y="0"/>
            <wp:positionH relativeFrom="column">
              <wp:posOffset>228600</wp:posOffset>
            </wp:positionH>
            <wp:positionV relativeFrom="paragraph">
              <wp:posOffset>-342900</wp:posOffset>
            </wp:positionV>
            <wp:extent cx="4118610" cy="2510155"/>
            <wp:effectExtent l="0" t="0" r="21590" b="29845"/>
            <wp:wrapSquare wrapText="bothSides"/>
            <wp:docPr id="74" name="Chart 7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2A5B">
        <w:rPr>
          <w:rFonts w:ascii="Times New Roman" w:hAnsi="Times New Roman" w:cs="Times New Roman"/>
          <w:color w:val="auto"/>
          <w:sz w:val="22"/>
          <w:szCs w:val="22"/>
        </w:rPr>
        <w:t>FIGURE 1.</w:t>
      </w:r>
      <w:r w:rsidRPr="00152A5B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 w:rsidR="00FA3719" w:rsidRPr="00152A5B">
        <w:rPr>
          <w:rFonts w:ascii="Times New Roman" w:hAnsi="Times New Roman" w:cs="Times New Roman"/>
          <w:b w:val="0"/>
          <w:i/>
          <w:color w:val="auto"/>
          <w:sz w:val="22"/>
          <w:szCs w:val="22"/>
        </w:rPr>
        <w:t>Average nominal tariff rates for EU and Turkey before and after agreements enter into force</w:t>
      </w:r>
      <w:bookmarkEnd w:id="1"/>
    </w:p>
    <w:p w14:paraId="0A747B2C" w14:textId="77777777" w:rsidR="00FA3719" w:rsidRPr="00152A5B" w:rsidRDefault="00FA3719" w:rsidP="00FA3719">
      <w:pPr>
        <w:rPr>
          <w:rFonts w:ascii="Times New Roman" w:hAnsi="Times New Roman" w:cs="Times New Roman"/>
          <w:i/>
          <w:sz w:val="22"/>
          <w:szCs w:val="22"/>
        </w:rPr>
      </w:pPr>
      <w:bookmarkStart w:id="2" w:name="_GoBack"/>
      <w:bookmarkEnd w:id="2"/>
    </w:p>
    <w:p w14:paraId="4A57D214" w14:textId="77777777" w:rsidR="00FA3719" w:rsidRPr="00152A5B" w:rsidRDefault="00FA3719" w:rsidP="00FA3719">
      <w:pPr>
        <w:rPr>
          <w:rFonts w:ascii="Times New Roman" w:hAnsi="Times New Roman" w:cs="Times New Roman"/>
          <w:i/>
          <w:sz w:val="20"/>
          <w:szCs w:val="20"/>
        </w:rPr>
      </w:pPr>
      <w:r w:rsidRPr="00152A5B">
        <w:rPr>
          <w:rFonts w:ascii="Times New Roman" w:hAnsi="Times New Roman" w:cs="Times New Roman"/>
          <w:i/>
          <w:sz w:val="20"/>
          <w:szCs w:val="20"/>
        </w:rPr>
        <w:t xml:space="preserve">Source: </w:t>
      </w:r>
      <w:r w:rsidRPr="00152A5B">
        <w:rPr>
          <w:rFonts w:ascii="Times New Roman" w:hAnsi="Times New Roman" w:cs="Times New Roman"/>
          <w:sz w:val="20"/>
          <w:szCs w:val="20"/>
        </w:rPr>
        <w:t>Author’s calculations based on KAS (2015) data.</w:t>
      </w:r>
    </w:p>
    <w:p w14:paraId="26232415" w14:textId="15E6C895" w:rsidR="00FA3719" w:rsidRPr="00152A5B" w:rsidRDefault="00FA3719" w:rsidP="00FA3719">
      <w:pPr>
        <w:rPr>
          <w:rFonts w:ascii="Times New Roman" w:hAnsi="Times New Roman" w:cs="Times New Roman"/>
          <w:i/>
          <w:sz w:val="20"/>
          <w:szCs w:val="20"/>
        </w:rPr>
      </w:pPr>
      <w:r w:rsidRPr="00152A5B">
        <w:rPr>
          <w:rFonts w:ascii="Times New Roman" w:hAnsi="Times New Roman" w:cs="Times New Roman"/>
          <w:i/>
          <w:sz w:val="20"/>
          <w:szCs w:val="20"/>
        </w:rPr>
        <w:t xml:space="preserve">Note: </w:t>
      </w:r>
      <w:r w:rsidRPr="00152A5B">
        <w:rPr>
          <w:rFonts w:ascii="Times New Roman" w:hAnsi="Times New Roman" w:cs="Times New Roman"/>
          <w:sz w:val="20"/>
          <w:szCs w:val="20"/>
        </w:rPr>
        <w:t xml:space="preserve">Averages have been calculated based on the total number of tariff lines in Kosovo Customs’ </w:t>
      </w:r>
      <w:r w:rsidR="006906CD" w:rsidRPr="00152A5B">
        <w:rPr>
          <w:rFonts w:ascii="Times New Roman" w:hAnsi="Times New Roman" w:cs="Times New Roman"/>
          <w:sz w:val="20"/>
          <w:szCs w:val="20"/>
        </w:rPr>
        <w:t>Tariff Code (</w:t>
      </w:r>
      <w:r w:rsidRPr="00152A5B">
        <w:rPr>
          <w:rFonts w:ascii="Times New Roman" w:hAnsi="Times New Roman" w:cs="Times New Roman"/>
          <w:sz w:val="20"/>
          <w:szCs w:val="20"/>
        </w:rPr>
        <w:t>TARIK</w:t>
      </w:r>
      <w:r w:rsidR="006906CD" w:rsidRPr="00152A5B">
        <w:rPr>
          <w:rFonts w:ascii="Times New Roman" w:hAnsi="Times New Roman" w:cs="Times New Roman"/>
          <w:sz w:val="20"/>
          <w:szCs w:val="20"/>
        </w:rPr>
        <w:t>)</w:t>
      </w:r>
      <w:r w:rsidRPr="00152A5B">
        <w:rPr>
          <w:rFonts w:ascii="Times New Roman" w:hAnsi="Times New Roman" w:cs="Times New Roman"/>
          <w:sz w:val="20"/>
          <w:szCs w:val="20"/>
        </w:rPr>
        <w:t xml:space="preserve"> </w:t>
      </w:r>
      <w:r w:rsidR="006906CD" w:rsidRPr="00152A5B">
        <w:rPr>
          <w:rFonts w:ascii="Times New Roman" w:hAnsi="Times New Roman" w:cs="Times New Roman"/>
          <w:sz w:val="20"/>
          <w:szCs w:val="20"/>
        </w:rPr>
        <w:t xml:space="preserve">of </w:t>
      </w:r>
      <w:r w:rsidRPr="00152A5B">
        <w:rPr>
          <w:rFonts w:ascii="Times New Roman" w:hAnsi="Times New Roman" w:cs="Times New Roman"/>
          <w:sz w:val="20"/>
          <w:szCs w:val="20"/>
        </w:rPr>
        <w:t>2012. The same has been used to negotiate with the EU and Turkey counterparts.</w:t>
      </w:r>
      <w:r w:rsidRPr="00152A5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319D3F2E" w14:textId="77777777" w:rsidR="00FA3719" w:rsidRPr="00152A5B" w:rsidRDefault="00FA3719" w:rsidP="003275CE">
      <w:pPr>
        <w:ind w:firstLine="288"/>
        <w:rPr>
          <w:rFonts w:ascii="Times New Roman" w:hAnsi="Times New Roman" w:cs="Times New Roman"/>
          <w:sz w:val="20"/>
          <w:szCs w:val="20"/>
        </w:rPr>
      </w:pPr>
    </w:p>
    <w:p w14:paraId="4AC2CA2F" w14:textId="14FD6D33" w:rsidR="00363ECB" w:rsidRPr="00152A5B" w:rsidRDefault="00BF23BC" w:rsidP="008A51FB">
      <w:pPr>
        <w:pStyle w:val="Caption"/>
        <w:keepNext/>
        <w:spacing w:after="0"/>
        <w:rPr>
          <w:rFonts w:ascii="Times New Roman" w:hAnsi="Times New Roman" w:cs="Times New Roman"/>
          <w:b w:val="0"/>
          <w:bCs w:val="0"/>
          <w:i/>
          <w:color w:val="auto"/>
          <w:spacing w:val="-4"/>
          <w:sz w:val="22"/>
          <w:szCs w:val="22"/>
        </w:rPr>
      </w:pPr>
      <w:bookmarkStart w:id="3" w:name="_Toc305169102"/>
      <w:r w:rsidRPr="00152A5B">
        <w:rPr>
          <w:rFonts w:ascii="Times New Roman" w:hAnsi="Times New Roman" w:cs="Times New Roman"/>
          <w:bCs w:val="0"/>
          <w:color w:val="auto"/>
          <w:spacing w:val="-4"/>
          <w:sz w:val="22"/>
          <w:szCs w:val="22"/>
        </w:rPr>
        <w:t>TABLE 3.</w:t>
      </w:r>
      <w:r w:rsidR="00363ECB" w:rsidRPr="00152A5B">
        <w:rPr>
          <w:rFonts w:ascii="Times New Roman" w:hAnsi="Times New Roman" w:cs="Times New Roman"/>
          <w:b w:val="0"/>
          <w:bCs w:val="0"/>
          <w:i/>
          <w:color w:val="auto"/>
          <w:spacing w:val="-4"/>
          <w:sz w:val="22"/>
          <w:szCs w:val="22"/>
        </w:rPr>
        <w:t xml:space="preserve"> The schedule of concessions granted in the SAA and the FTA with Turkey</w:t>
      </w:r>
      <w:bookmarkEnd w:id="3"/>
    </w:p>
    <w:tbl>
      <w:tblPr>
        <w:tblW w:w="7486" w:type="dxa"/>
        <w:jc w:val="center"/>
        <w:tblLook w:val="04A0" w:firstRow="1" w:lastRow="0" w:firstColumn="1" w:lastColumn="0" w:noHBand="0" w:noVBand="1"/>
      </w:tblPr>
      <w:tblGrid>
        <w:gridCol w:w="1590"/>
        <w:gridCol w:w="1519"/>
        <w:gridCol w:w="1437"/>
        <w:gridCol w:w="1539"/>
        <w:gridCol w:w="1401"/>
      </w:tblGrid>
      <w:tr w:rsidR="00363ECB" w:rsidRPr="00260D80" w14:paraId="21F3C59F" w14:textId="77777777" w:rsidTr="009D7674">
        <w:trPr>
          <w:jc w:val="center"/>
        </w:trPr>
        <w:tc>
          <w:tcPr>
            <w:tcW w:w="1590" w:type="dxa"/>
            <w:vMerge w:val="restar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37EE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 xml:space="preserve">Sectors </w:t>
            </w:r>
          </w:p>
        </w:tc>
        <w:tc>
          <w:tcPr>
            <w:tcW w:w="29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6A8C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SAA with EU</w:t>
            </w:r>
          </w:p>
        </w:tc>
        <w:tc>
          <w:tcPr>
            <w:tcW w:w="294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1FA54278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FTA with Turkey</w:t>
            </w:r>
          </w:p>
        </w:tc>
      </w:tr>
      <w:tr w:rsidR="00363ECB" w:rsidRPr="00260D80" w14:paraId="40826F9D" w14:textId="77777777" w:rsidTr="009D7674">
        <w:trPr>
          <w:jc w:val="center"/>
        </w:trPr>
        <w:tc>
          <w:tcPr>
            <w:tcW w:w="159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F117F1" w14:textId="77777777" w:rsidR="00363ECB" w:rsidRPr="00152A5B" w:rsidRDefault="00363ECB" w:rsidP="00FA3719">
            <w:pPr>
              <w:tabs>
                <w:tab w:val="center" w:pos="4320"/>
                <w:tab w:val="right" w:pos="8640"/>
              </w:tabs>
              <w:spacing w:before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302E59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Schedules (years)</w:t>
            </w:r>
          </w:p>
        </w:tc>
        <w:tc>
          <w:tcPr>
            <w:tcW w:w="14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6EF634" w14:textId="72DC27E3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Products covered (HS-8 digit)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E81C0F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Schedules (years)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14:paraId="788925F7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Products covered (HS-8 digit)</w:t>
            </w:r>
          </w:p>
        </w:tc>
      </w:tr>
      <w:tr w:rsidR="00363ECB" w:rsidRPr="00260D80" w14:paraId="08FC58B3" w14:textId="77777777" w:rsidTr="009D7674">
        <w:trPr>
          <w:jc w:val="center"/>
        </w:trPr>
        <w:tc>
          <w:tcPr>
            <w:tcW w:w="159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00AFAD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Agriculture Sector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60714B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Zero</w:t>
            </w:r>
          </w:p>
        </w:tc>
        <w:tc>
          <w:tcPr>
            <w:tcW w:w="14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E6FDE0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1,204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A6339E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Zero</w:t>
            </w:r>
          </w:p>
        </w:tc>
        <w:tc>
          <w:tcPr>
            <w:tcW w:w="1401" w:type="dxa"/>
            <w:tcBorders>
              <w:top w:val="single" w:sz="4" w:space="0" w:color="auto"/>
            </w:tcBorders>
            <w:vAlign w:val="center"/>
          </w:tcPr>
          <w:p w14:paraId="79172BE8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433</w:t>
            </w:r>
          </w:p>
        </w:tc>
      </w:tr>
      <w:tr w:rsidR="00363ECB" w:rsidRPr="00260D80" w14:paraId="2973AC05" w14:textId="77777777" w:rsidTr="009D7674">
        <w:trPr>
          <w:jc w:val="center"/>
        </w:trPr>
        <w:tc>
          <w:tcPr>
            <w:tcW w:w="1590" w:type="dxa"/>
            <w:vMerge/>
            <w:tcBorders>
              <w:right w:val="single" w:sz="4" w:space="0" w:color="auto"/>
            </w:tcBorders>
            <w:vAlign w:val="center"/>
          </w:tcPr>
          <w:p w14:paraId="53E3706A" w14:textId="77777777" w:rsidR="00363ECB" w:rsidRPr="00152A5B" w:rsidRDefault="00363ECB" w:rsidP="00FA3719">
            <w:pPr>
              <w:tabs>
                <w:tab w:val="center" w:pos="4320"/>
                <w:tab w:val="right" w:pos="8640"/>
              </w:tabs>
              <w:spacing w:before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4" w:space="0" w:color="auto"/>
            </w:tcBorders>
            <w:vAlign w:val="center"/>
          </w:tcPr>
          <w:p w14:paraId="575C84D9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Five</w:t>
            </w:r>
          </w:p>
        </w:tc>
        <w:tc>
          <w:tcPr>
            <w:tcW w:w="1437" w:type="dxa"/>
            <w:tcBorders>
              <w:right w:val="single" w:sz="4" w:space="0" w:color="auto"/>
            </w:tcBorders>
            <w:vAlign w:val="center"/>
          </w:tcPr>
          <w:p w14:paraId="136159B8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353</w:t>
            </w:r>
          </w:p>
        </w:tc>
        <w:tc>
          <w:tcPr>
            <w:tcW w:w="1539" w:type="dxa"/>
            <w:tcBorders>
              <w:left w:val="single" w:sz="4" w:space="0" w:color="auto"/>
            </w:tcBorders>
            <w:vAlign w:val="center"/>
          </w:tcPr>
          <w:p w14:paraId="18BB9601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Six</w:t>
            </w:r>
          </w:p>
        </w:tc>
        <w:tc>
          <w:tcPr>
            <w:tcW w:w="1401" w:type="dxa"/>
            <w:vAlign w:val="center"/>
          </w:tcPr>
          <w:p w14:paraId="6F7653A4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214</w:t>
            </w:r>
          </w:p>
        </w:tc>
      </w:tr>
      <w:tr w:rsidR="00363ECB" w:rsidRPr="00260D80" w14:paraId="039F6D3E" w14:textId="77777777" w:rsidTr="009D7674">
        <w:trPr>
          <w:jc w:val="center"/>
        </w:trPr>
        <w:tc>
          <w:tcPr>
            <w:tcW w:w="1590" w:type="dxa"/>
            <w:vMerge/>
            <w:tcBorders>
              <w:right w:val="single" w:sz="4" w:space="0" w:color="auto"/>
            </w:tcBorders>
            <w:vAlign w:val="center"/>
          </w:tcPr>
          <w:p w14:paraId="559B15F4" w14:textId="77777777" w:rsidR="00363ECB" w:rsidRPr="00152A5B" w:rsidRDefault="00363ECB" w:rsidP="00FA3719">
            <w:pPr>
              <w:tabs>
                <w:tab w:val="center" w:pos="4320"/>
                <w:tab w:val="right" w:pos="8640"/>
              </w:tabs>
              <w:spacing w:before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4" w:space="0" w:color="auto"/>
            </w:tcBorders>
            <w:vAlign w:val="center"/>
          </w:tcPr>
          <w:p w14:paraId="39A61F30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Seven</w:t>
            </w:r>
          </w:p>
        </w:tc>
        <w:tc>
          <w:tcPr>
            <w:tcW w:w="1437" w:type="dxa"/>
            <w:tcBorders>
              <w:right w:val="single" w:sz="4" w:space="0" w:color="auto"/>
            </w:tcBorders>
            <w:vAlign w:val="center"/>
          </w:tcPr>
          <w:p w14:paraId="35073D58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539" w:type="dxa"/>
            <w:tcBorders>
              <w:left w:val="single" w:sz="4" w:space="0" w:color="auto"/>
            </w:tcBorders>
            <w:vAlign w:val="center"/>
          </w:tcPr>
          <w:p w14:paraId="71C928B1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Eight</w:t>
            </w:r>
          </w:p>
        </w:tc>
        <w:tc>
          <w:tcPr>
            <w:tcW w:w="1401" w:type="dxa"/>
            <w:vAlign w:val="center"/>
          </w:tcPr>
          <w:p w14:paraId="4D2AF254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</w:tr>
      <w:tr w:rsidR="00363ECB" w:rsidRPr="00260D80" w14:paraId="1D80F20F" w14:textId="77777777" w:rsidTr="009D7674">
        <w:trPr>
          <w:jc w:val="center"/>
        </w:trPr>
        <w:tc>
          <w:tcPr>
            <w:tcW w:w="1590" w:type="dxa"/>
            <w:vMerge/>
            <w:tcBorders>
              <w:right w:val="single" w:sz="4" w:space="0" w:color="auto"/>
            </w:tcBorders>
            <w:vAlign w:val="center"/>
          </w:tcPr>
          <w:p w14:paraId="162E8625" w14:textId="77777777" w:rsidR="00363ECB" w:rsidRPr="00152A5B" w:rsidRDefault="00363ECB" w:rsidP="00FA3719">
            <w:pPr>
              <w:tabs>
                <w:tab w:val="center" w:pos="4320"/>
                <w:tab w:val="right" w:pos="8640"/>
              </w:tabs>
              <w:spacing w:before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4" w:space="0" w:color="auto"/>
            </w:tcBorders>
            <w:vAlign w:val="center"/>
          </w:tcPr>
          <w:p w14:paraId="11DCE9C6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Ten</w:t>
            </w:r>
          </w:p>
        </w:tc>
        <w:tc>
          <w:tcPr>
            <w:tcW w:w="1437" w:type="dxa"/>
            <w:tcBorders>
              <w:right w:val="single" w:sz="4" w:space="0" w:color="auto"/>
            </w:tcBorders>
            <w:vAlign w:val="center"/>
          </w:tcPr>
          <w:p w14:paraId="63010A79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39" w:type="dxa"/>
            <w:tcBorders>
              <w:left w:val="single" w:sz="4" w:space="0" w:color="auto"/>
            </w:tcBorders>
            <w:vAlign w:val="center"/>
          </w:tcPr>
          <w:p w14:paraId="39FBB0FA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Ten</w:t>
            </w:r>
          </w:p>
        </w:tc>
        <w:tc>
          <w:tcPr>
            <w:tcW w:w="1401" w:type="dxa"/>
            <w:vAlign w:val="center"/>
          </w:tcPr>
          <w:p w14:paraId="07C14BAD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</w:tr>
      <w:tr w:rsidR="00363ECB" w:rsidRPr="00260D80" w14:paraId="228B3E2C" w14:textId="77777777" w:rsidTr="009D7674">
        <w:trPr>
          <w:jc w:val="center"/>
        </w:trPr>
        <w:tc>
          <w:tcPr>
            <w:tcW w:w="1590" w:type="dxa"/>
            <w:vMerge/>
            <w:tcBorders>
              <w:right w:val="single" w:sz="4" w:space="0" w:color="auto"/>
            </w:tcBorders>
            <w:vAlign w:val="center"/>
          </w:tcPr>
          <w:p w14:paraId="76D2E47D" w14:textId="77777777" w:rsidR="00363ECB" w:rsidRPr="00152A5B" w:rsidRDefault="00363ECB" w:rsidP="00FA3719">
            <w:pPr>
              <w:tabs>
                <w:tab w:val="center" w:pos="4320"/>
                <w:tab w:val="right" w:pos="8640"/>
              </w:tabs>
              <w:spacing w:before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4" w:space="0" w:color="auto"/>
            </w:tcBorders>
            <w:vAlign w:val="center"/>
          </w:tcPr>
          <w:p w14:paraId="139494B6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right w:val="single" w:sz="4" w:space="0" w:color="auto"/>
            </w:tcBorders>
            <w:vAlign w:val="center"/>
          </w:tcPr>
          <w:p w14:paraId="4619C2FD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9" w:type="dxa"/>
            <w:tcBorders>
              <w:left w:val="single" w:sz="4" w:space="0" w:color="auto"/>
            </w:tcBorders>
            <w:vAlign w:val="center"/>
          </w:tcPr>
          <w:p w14:paraId="655A3894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Ten-A</w:t>
            </w:r>
          </w:p>
        </w:tc>
        <w:tc>
          <w:tcPr>
            <w:tcW w:w="1401" w:type="dxa"/>
            <w:vAlign w:val="center"/>
          </w:tcPr>
          <w:p w14:paraId="51396958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363ECB" w:rsidRPr="00260D80" w14:paraId="64E21403" w14:textId="77777777" w:rsidTr="009D7674">
        <w:trPr>
          <w:jc w:val="center"/>
        </w:trPr>
        <w:tc>
          <w:tcPr>
            <w:tcW w:w="159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DCD25C" w14:textId="77777777" w:rsidR="00363ECB" w:rsidRPr="00152A5B" w:rsidRDefault="00363ECB" w:rsidP="00FA3719">
            <w:pPr>
              <w:tabs>
                <w:tab w:val="center" w:pos="4320"/>
                <w:tab w:val="right" w:pos="8640"/>
              </w:tabs>
              <w:spacing w:before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7EEBFC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Excluded</w:t>
            </w:r>
          </w:p>
        </w:tc>
        <w:tc>
          <w:tcPr>
            <w:tcW w:w="14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301736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F7456A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Excluded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14:paraId="682EC255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1,035</w:t>
            </w:r>
          </w:p>
        </w:tc>
      </w:tr>
      <w:tr w:rsidR="00363ECB" w:rsidRPr="00260D80" w14:paraId="2AA53103" w14:textId="77777777" w:rsidTr="009D7674">
        <w:trPr>
          <w:jc w:val="center"/>
        </w:trPr>
        <w:tc>
          <w:tcPr>
            <w:tcW w:w="159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26AED3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Processed Agriculture Products (PAPs)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0DB887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Zero</w:t>
            </w:r>
          </w:p>
        </w:tc>
        <w:tc>
          <w:tcPr>
            <w:tcW w:w="14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6D181D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135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430127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Zero</w:t>
            </w:r>
          </w:p>
        </w:tc>
        <w:tc>
          <w:tcPr>
            <w:tcW w:w="1401" w:type="dxa"/>
            <w:tcBorders>
              <w:top w:val="single" w:sz="4" w:space="0" w:color="auto"/>
            </w:tcBorders>
            <w:vAlign w:val="center"/>
          </w:tcPr>
          <w:p w14:paraId="4D900F3B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</w:tr>
      <w:tr w:rsidR="00363ECB" w:rsidRPr="00260D80" w14:paraId="5F920D56" w14:textId="77777777" w:rsidTr="009D7674">
        <w:trPr>
          <w:jc w:val="center"/>
        </w:trPr>
        <w:tc>
          <w:tcPr>
            <w:tcW w:w="1590" w:type="dxa"/>
            <w:vMerge/>
            <w:tcBorders>
              <w:right w:val="single" w:sz="4" w:space="0" w:color="auto"/>
            </w:tcBorders>
            <w:vAlign w:val="center"/>
          </w:tcPr>
          <w:p w14:paraId="1E560D1E" w14:textId="77777777" w:rsidR="00363ECB" w:rsidRPr="00152A5B" w:rsidRDefault="00363ECB" w:rsidP="00FA3719">
            <w:pPr>
              <w:tabs>
                <w:tab w:val="center" w:pos="4320"/>
                <w:tab w:val="right" w:pos="8640"/>
              </w:tabs>
              <w:spacing w:before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4" w:space="0" w:color="auto"/>
            </w:tcBorders>
            <w:vAlign w:val="center"/>
          </w:tcPr>
          <w:p w14:paraId="6642073F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Five</w:t>
            </w:r>
          </w:p>
        </w:tc>
        <w:tc>
          <w:tcPr>
            <w:tcW w:w="1437" w:type="dxa"/>
            <w:tcBorders>
              <w:right w:val="single" w:sz="4" w:space="0" w:color="auto"/>
            </w:tcBorders>
            <w:vAlign w:val="center"/>
          </w:tcPr>
          <w:p w14:paraId="0E1CE371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1539" w:type="dxa"/>
            <w:tcBorders>
              <w:left w:val="single" w:sz="4" w:space="0" w:color="auto"/>
            </w:tcBorders>
            <w:vAlign w:val="center"/>
          </w:tcPr>
          <w:p w14:paraId="054E1A94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Six</w:t>
            </w:r>
          </w:p>
        </w:tc>
        <w:tc>
          <w:tcPr>
            <w:tcW w:w="1401" w:type="dxa"/>
            <w:vAlign w:val="center"/>
          </w:tcPr>
          <w:p w14:paraId="205E5FE8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94</w:t>
            </w:r>
          </w:p>
        </w:tc>
      </w:tr>
      <w:tr w:rsidR="00363ECB" w:rsidRPr="00260D80" w14:paraId="1FCB94C5" w14:textId="77777777" w:rsidTr="009D7674">
        <w:trPr>
          <w:jc w:val="center"/>
        </w:trPr>
        <w:tc>
          <w:tcPr>
            <w:tcW w:w="1590" w:type="dxa"/>
            <w:vMerge/>
            <w:tcBorders>
              <w:right w:val="single" w:sz="4" w:space="0" w:color="auto"/>
            </w:tcBorders>
            <w:vAlign w:val="center"/>
          </w:tcPr>
          <w:p w14:paraId="01169614" w14:textId="77777777" w:rsidR="00363ECB" w:rsidRPr="00152A5B" w:rsidRDefault="00363ECB" w:rsidP="00FA3719">
            <w:pPr>
              <w:tabs>
                <w:tab w:val="center" w:pos="4320"/>
                <w:tab w:val="right" w:pos="8640"/>
              </w:tabs>
              <w:spacing w:before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4" w:space="0" w:color="auto"/>
            </w:tcBorders>
            <w:vAlign w:val="center"/>
          </w:tcPr>
          <w:p w14:paraId="5A883E14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Seven</w:t>
            </w:r>
          </w:p>
        </w:tc>
        <w:tc>
          <w:tcPr>
            <w:tcW w:w="1437" w:type="dxa"/>
            <w:tcBorders>
              <w:right w:val="single" w:sz="4" w:space="0" w:color="auto"/>
            </w:tcBorders>
            <w:vAlign w:val="center"/>
          </w:tcPr>
          <w:p w14:paraId="37C263AD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1539" w:type="dxa"/>
            <w:tcBorders>
              <w:left w:val="single" w:sz="4" w:space="0" w:color="auto"/>
            </w:tcBorders>
            <w:vAlign w:val="center"/>
          </w:tcPr>
          <w:p w14:paraId="3776C40E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Eight</w:t>
            </w:r>
          </w:p>
        </w:tc>
        <w:tc>
          <w:tcPr>
            <w:tcW w:w="1401" w:type="dxa"/>
            <w:vAlign w:val="center"/>
          </w:tcPr>
          <w:p w14:paraId="624C2F9D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</w:tr>
      <w:tr w:rsidR="00363ECB" w:rsidRPr="00260D80" w14:paraId="471346D1" w14:textId="77777777" w:rsidTr="009D7674">
        <w:trPr>
          <w:jc w:val="center"/>
        </w:trPr>
        <w:tc>
          <w:tcPr>
            <w:tcW w:w="1590" w:type="dxa"/>
            <w:vMerge/>
            <w:tcBorders>
              <w:right w:val="single" w:sz="4" w:space="0" w:color="auto"/>
            </w:tcBorders>
            <w:vAlign w:val="center"/>
          </w:tcPr>
          <w:p w14:paraId="60171145" w14:textId="77777777" w:rsidR="00363ECB" w:rsidRPr="00152A5B" w:rsidRDefault="00363ECB" w:rsidP="00FA3719">
            <w:pPr>
              <w:tabs>
                <w:tab w:val="center" w:pos="4320"/>
                <w:tab w:val="right" w:pos="8640"/>
              </w:tabs>
              <w:spacing w:before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4" w:space="0" w:color="auto"/>
            </w:tcBorders>
            <w:vAlign w:val="center"/>
          </w:tcPr>
          <w:p w14:paraId="6FFE7DBF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Ten</w:t>
            </w:r>
          </w:p>
        </w:tc>
        <w:tc>
          <w:tcPr>
            <w:tcW w:w="1437" w:type="dxa"/>
            <w:tcBorders>
              <w:right w:val="single" w:sz="4" w:space="0" w:color="auto"/>
            </w:tcBorders>
            <w:vAlign w:val="center"/>
          </w:tcPr>
          <w:p w14:paraId="112B07FE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39" w:type="dxa"/>
            <w:tcBorders>
              <w:left w:val="single" w:sz="4" w:space="0" w:color="auto"/>
            </w:tcBorders>
            <w:vAlign w:val="center"/>
          </w:tcPr>
          <w:p w14:paraId="3ADE5BA3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Ten</w:t>
            </w:r>
          </w:p>
        </w:tc>
        <w:tc>
          <w:tcPr>
            <w:tcW w:w="1401" w:type="dxa"/>
            <w:vAlign w:val="center"/>
          </w:tcPr>
          <w:p w14:paraId="7F6E572D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363ECB" w:rsidRPr="00260D80" w14:paraId="4DE2B30C" w14:textId="77777777" w:rsidTr="009D7674">
        <w:trPr>
          <w:jc w:val="center"/>
        </w:trPr>
        <w:tc>
          <w:tcPr>
            <w:tcW w:w="1590" w:type="dxa"/>
            <w:vMerge/>
            <w:tcBorders>
              <w:right w:val="single" w:sz="4" w:space="0" w:color="auto"/>
            </w:tcBorders>
            <w:vAlign w:val="center"/>
          </w:tcPr>
          <w:p w14:paraId="4990A84D" w14:textId="77777777" w:rsidR="00363ECB" w:rsidRPr="00152A5B" w:rsidRDefault="00363ECB" w:rsidP="00FA3719">
            <w:pPr>
              <w:tabs>
                <w:tab w:val="center" w:pos="4320"/>
                <w:tab w:val="right" w:pos="8640"/>
              </w:tabs>
              <w:spacing w:before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4" w:space="0" w:color="auto"/>
            </w:tcBorders>
            <w:vAlign w:val="center"/>
          </w:tcPr>
          <w:p w14:paraId="4D956CC9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right w:val="single" w:sz="4" w:space="0" w:color="auto"/>
            </w:tcBorders>
            <w:vAlign w:val="center"/>
          </w:tcPr>
          <w:p w14:paraId="787B3A8D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9" w:type="dxa"/>
            <w:tcBorders>
              <w:left w:val="single" w:sz="4" w:space="0" w:color="auto"/>
            </w:tcBorders>
            <w:vAlign w:val="center"/>
          </w:tcPr>
          <w:p w14:paraId="2A8223C4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Ten-A</w:t>
            </w:r>
          </w:p>
        </w:tc>
        <w:tc>
          <w:tcPr>
            <w:tcW w:w="1401" w:type="dxa"/>
            <w:vAlign w:val="center"/>
          </w:tcPr>
          <w:p w14:paraId="5DA2E972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363ECB" w:rsidRPr="00260D80" w14:paraId="4B7DD213" w14:textId="77777777" w:rsidTr="009D7674">
        <w:trPr>
          <w:jc w:val="center"/>
        </w:trPr>
        <w:tc>
          <w:tcPr>
            <w:tcW w:w="159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FBBE23" w14:textId="77777777" w:rsidR="00363ECB" w:rsidRPr="00152A5B" w:rsidRDefault="00363ECB" w:rsidP="00FA3719">
            <w:pPr>
              <w:tabs>
                <w:tab w:val="center" w:pos="4320"/>
                <w:tab w:val="right" w:pos="8640"/>
              </w:tabs>
              <w:spacing w:before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B9F1F9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Excluded</w:t>
            </w:r>
          </w:p>
        </w:tc>
        <w:tc>
          <w:tcPr>
            <w:tcW w:w="14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84AC34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CF436C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Excluded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14:paraId="5E5A5BBA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105</w:t>
            </w:r>
          </w:p>
        </w:tc>
      </w:tr>
      <w:tr w:rsidR="00363ECB" w:rsidRPr="00260D80" w14:paraId="0DF2BE6E" w14:textId="77777777" w:rsidTr="009D7674">
        <w:trPr>
          <w:jc w:val="center"/>
        </w:trPr>
        <w:tc>
          <w:tcPr>
            <w:tcW w:w="159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F10522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 xml:space="preserve">Fish Products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5EC837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Zero</w:t>
            </w:r>
          </w:p>
        </w:tc>
        <w:tc>
          <w:tcPr>
            <w:tcW w:w="14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3397CE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490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53B205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Zero</w:t>
            </w:r>
          </w:p>
        </w:tc>
        <w:tc>
          <w:tcPr>
            <w:tcW w:w="1401" w:type="dxa"/>
            <w:tcBorders>
              <w:top w:val="single" w:sz="4" w:space="0" w:color="auto"/>
            </w:tcBorders>
            <w:vAlign w:val="center"/>
          </w:tcPr>
          <w:p w14:paraId="7BE15124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</w:tr>
      <w:tr w:rsidR="00363ECB" w:rsidRPr="00260D80" w14:paraId="1B1DAE29" w14:textId="77777777" w:rsidTr="009D7674">
        <w:trPr>
          <w:jc w:val="center"/>
        </w:trPr>
        <w:tc>
          <w:tcPr>
            <w:tcW w:w="1590" w:type="dxa"/>
            <w:vMerge/>
            <w:tcBorders>
              <w:right w:val="single" w:sz="4" w:space="0" w:color="auto"/>
            </w:tcBorders>
            <w:vAlign w:val="center"/>
          </w:tcPr>
          <w:p w14:paraId="34802840" w14:textId="77777777" w:rsidR="00363ECB" w:rsidRPr="00152A5B" w:rsidRDefault="00363ECB" w:rsidP="00FA3719">
            <w:pPr>
              <w:tabs>
                <w:tab w:val="center" w:pos="4320"/>
                <w:tab w:val="right" w:pos="8640"/>
              </w:tabs>
              <w:spacing w:before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4" w:space="0" w:color="auto"/>
            </w:tcBorders>
            <w:vAlign w:val="center"/>
          </w:tcPr>
          <w:p w14:paraId="3394F21F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Five</w:t>
            </w:r>
          </w:p>
        </w:tc>
        <w:tc>
          <w:tcPr>
            <w:tcW w:w="1437" w:type="dxa"/>
            <w:tcBorders>
              <w:right w:val="single" w:sz="4" w:space="0" w:color="auto"/>
            </w:tcBorders>
            <w:vAlign w:val="center"/>
          </w:tcPr>
          <w:p w14:paraId="7419650D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39" w:type="dxa"/>
            <w:tcBorders>
              <w:left w:val="single" w:sz="4" w:space="0" w:color="auto"/>
            </w:tcBorders>
            <w:vAlign w:val="center"/>
          </w:tcPr>
          <w:p w14:paraId="0D46A31B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Six</w:t>
            </w:r>
          </w:p>
        </w:tc>
        <w:tc>
          <w:tcPr>
            <w:tcW w:w="1401" w:type="dxa"/>
            <w:vAlign w:val="center"/>
          </w:tcPr>
          <w:p w14:paraId="69EBEE31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363ECB" w:rsidRPr="00260D80" w14:paraId="062EF4B4" w14:textId="77777777" w:rsidTr="009D7674">
        <w:trPr>
          <w:jc w:val="center"/>
        </w:trPr>
        <w:tc>
          <w:tcPr>
            <w:tcW w:w="1590" w:type="dxa"/>
            <w:vMerge/>
            <w:tcBorders>
              <w:right w:val="single" w:sz="4" w:space="0" w:color="auto"/>
            </w:tcBorders>
            <w:vAlign w:val="center"/>
          </w:tcPr>
          <w:p w14:paraId="5CAF24FF" w14:textId="77777777" w:rsidR="00363ECB" w:rsidRPr="00152A5B" w:rsidRDefault="00363ECB" w:rsidP="00FA3719">
            <w:pPr>
              <w:tabs>
                <w:tab w:val="center" w:pos="4320"/>
                <w:tab w:val="right" w:pos="8640"/>
              </w:tabs>
              <w:spacing w:before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4" w:space="0" w:color="auto"/>
            </w:tcBorders>
            <w:vAlign w:val="center"/>
          </w:tcPr>
          <w:p w14:paraId="462B3D21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Seven</w:t>
            </w:r>
          </w:p>
        </w:tc>
        <w:tc>
          <w:tcPr>
            <w:tcW w:w="1437" w:type="dxa"/>
            <w:tcBorders>
              <w:right w:val="single" w:sz="4" w:space="0" w:color="auto"/>
            </w:tcBorders>
            <w:vAlign w:val="center"/>
          </w:tcPr>
          <w:p w14:paraId="03D4E373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39" w:type="dxa"/>
            <w:tcBorders>
              <w:left w:val="single" w:sz="4" w:space="0" w:color="auto"/>
            </w:tcBorders>
            <w:vAlign w:val="center"/>
          </w:tcPr>
          <w:p w14:paraId="192658B2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Ten</w:t>
            </w:r>
          </w:p>
        </w:tc>
        <w:tc>
          <w:tcPr>
            <w:tcW w:w="1401" w:type="dxa"/>
            <w:vAlign w:val="center"/>
          </w:tcPr>
          <w:p w14:paraId="6F2554B1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363ECB" w:rsidRPr="00260D80" w14:paraId="45A8DBC9" w14:textId="77777777" w:rsidTr="009D7674">
        <w:trPr>
          <w:jc w:val="center"/>
        </w:trPr>
        <w:tc>
          <w:tcPr>
            <w:tcW w:w="159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6E4E2B" w14:textId="77777777" w:rsidR="00363ECB" w:rsidRPr="00152A5B" w:rsidRDefault="00363ECB" w:rsidP="00FA3719">
            <w:pPr>
              <w:tabs>
                <w:tab w:val="center" w:pos="4320"/>
                <w:tab w:val="right" w:pos="8640"/>
              </w:tabs>
              <w:spacing w:before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B9AAF9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Excluded</w:t>
            </w:r>
          </w:p>
        </w:tc>
        <w:tc>
          <w:tcPr>
            <w:tcW w:w="14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E10D1E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C0F8B6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Excluded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14:paraId="3B123C87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456</w:t>
            </w:r>
          </w:p>
        </w:tc>
      </w:tr>
      <w:tr w:rsidR="00363ECB" w:rsidRPr="00260D80" w14:paraId="6F3BE417" w14:textId="77777777" w:rsidTr="009D7674">
        <w:trPr>
          <w:jc w:val="center"/>
        </w:trPr>
        <w:tc>
          <w:tcPr>
            <w:tcW w:w="159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049890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 xml:space="preserve">Industrial products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5DD7C2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Zero</w:t>
            </w:r>
          </w:p>
        </w:tc>
        <w:tc>
          <w:tcPr>
            <w:tcW w:w="14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2AE24D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4,763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387FFB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Zero</w:t>
            </w:r>
          </w:p>
        </w:tc>
        <w:tc>
          <w:tcPr>
            <w:tcW w:w="1401" w:type="dxa"/>
            <w:tcBorders>
              <w:top w:val="single" w:sz="4" w:space="0" w:color="auto"/>
            </w:tcBorders>
            <w:vAlign w:val="center"/>
          </w:tcPr>
          <w:p w14:paraId="4E92C27C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2,254</w:t>
            </w:r>
          </w:p>
        </w:tc>
      </w:tr>
      <w:tr w:rsidR="00363ECB" w:rsidRPr="00260D80" w14:paraId="5FE5DB44" w14:textId="77777777" w:rsidTr="009D7674">
        <w:trPr>
          <w:jc w:val="center"/>
        </w:trPr>
        <w:tc>
          <w:tcPr>
            <w:tcW w:w="1590" w:type="dxa"/>
            <w:vMerge/>
            <w:tcBorders>
              <w:right w:val="single" w:sz="4" w:space="0" w:color="auto"/>
            </w:tcBorders>
            <w:vAlign w:val="center"/>
          </w:tcPr>
          <w:p w14:paraId="67AA2669" w14:textId="77777777" w:rsidR="00363ECB" w:rsidRPr="00152A5B" w:rsidRDefault="00363ECB" w:rsidP="00FA3719">
            <w:pPr>
              <w:tabs>
                <w:tab w:val="center" w:pos="4320"/>
                <w:tab w:val="right" w:pos="8640"/>
              </w:tabs>
              <w:spacing w:before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4" w:space="0" w:color="auto"/>
            </w:tcBorders>
            <w:vAlign w:val="center"/>
          </w:tcPr>
          <w:p w14:paraId="05908541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Five</w:t>
            </w:r>
          </w:p>
        </w:tc>
        <w:tc>
          <w:tcPr>
            <w:tcW w:w="1437" w:type="dxa"/>
            <w:tcBorders>
              <w:right w:val="single" w:sz="4" w:space="0" w:color="auto"/>
            </w:tcBorders>
            <w:vAlign w:val="center"/>
          </w:tcPr>
          <w:p w14:paraId="1454D2CD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1,131</w:t>
            </w:r>
          </w:p>
        </w:tc>
        <w:tc>
          <w:tcPr>
            <w:tcW w:w="1539" w:type="dxa"/>
            <w:tcBorders>
              <w:left w:val="single" w:sz="4" w:space="0" w:color="auto"/>
            </w:tcBorders>
            <w:vAlign w:val="center"/>
          </w:tcPr>
          <w:p w14:paraId="1527C131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Four</w:t>
            </w:r>
          </w:p>
        </w:tc>
        <w:tc>
          <w:tcPr>
            <w:tcW w:w="1401" w:type="dxa"/>
            <w:vAlign w:val="center"/>
          </w:tcPr>
          <w:p w14:paraId="312B298D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210</w:t>
            </w:r>
          </w:p>
        </w:tc>
      </w:tr>
      <w:tr w:rsidR="00363ECB" w:rsidRPr="00260D80" w14:paraId="3272DFED" w14:textId="77777777" w:rsidTr="009D7674">
        <w:trPr>
          <w:jc w:val="center"/>
        </w:trPr>
        <w:tc>
          <w:tcPr>
            <w:tcW w:w="1590" w:type="dxa"/>
            <w:vMerge/>
            <w:tcBorders>
              <w:right w:val="single" w:sz="4" w:space="0" w:color="auto"/>
            </w:tcBorders>
            <w:vAlign w:val="center"/>
          </w:tcPr>
          <w:p w14:paraId="10199FC4" w14:textId="77777777" w:rsidR="00363ECB" w:rsidRPr="00152A5B" w:rsidRDefault="00363ECB" w:rsidP="00FA3719">
            <w:pPr>
              <w:tabs>
                <w:tab w:val="center" w:pos="4320"/>
                <w:tab w:val="right" w:pos="8640"/>
              </w:tabs>
              <w:spacing w:before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4" w:space="0" w:color="auto"/>
            </w:tcBorders>
            <w:vAlign w:val="center"/>
          </w:tcPr>
          <w:p w14:paraId="4212D06F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Seven</w:t>
            </w:r>
          </w:p>
        </w:tc>
        <w:tc>
          <w:tcPr>
            <w:tcW w:w="1437" w:type="dxa"/>
            <w:tcBorders>
              <w:right w:val="single" w:sz="4" w:space="0" w:color="auto"/>
            </w:tcBorders>
            <w:vAlign w:val="center"/>
          </w:tcPr>
          <w:p w14:paraId="66D30EEF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925</w:t>
            </w:r>
          </w:p>
        </w:tc>
        <w:tc>
          <w:tcPr>
            <w:tcW w:w="1539" w:type="dxa"/>
            <w:tcBorders>
              <w:left w:val="single" w:sz="4" w:space="0" w:color="auto"/>
            </w:tcBorders>
            <w:vAlign w:val="center"/>
          </w:tcPr>
          <w:p w14:paraId="49F0D425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Six</w:t>
            </w:r>
          </w:p>
        </w:tc>
        <w:tc>
          <w:tcPr>
            <w:tcW w:w="1401" w:type="dxa"/>
            <w:vAlign w:val="center"/>
          </w:tcPr>
          <w:p w14:paraId="370769CE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1,234</w:t>
            </w:r>
          </w:p>
        </w:tc>
      </w:tr>
      <w:tr w:rsidR="00363ECB" w:rsidRPr="00260D80" w14:paraId="52097CDE" w14:textId="77777777" w:rsidTr="009D7674">
        <w:trPr>
          <w:jc w:val="center"/>
        </w:trPr>
        <w:tc>
          <w:tcPr>
            <w:tcW w:w="1590" w:type="dxa"/>
            <w:vMerge/>
            <w:tcBorders>
              <w:right w:val="single" w:sz="4" w:space="0" w:color="auto"/>
            </w:tcBorders>
            <w:vAlign w:val="center"/>
          </w:tcPr>
          <w:p w14:paraId="7C0543A3" w14:textId="77777777" w:rsidR="00363ECB" w:rsidRPr="00152A5B" w:rsidRDefault="00363ECB" w:rsidP="00FA3719">
            <w:pPr>
              <w:tabs>
                <w:tab w:val="center" w:pos="4320"/>
                <w:tab w:val="right" w:pos="8640"/>
              </w:tabs>
              <w:spacing w:before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4" w:space="0" w:color="auto"/>
            </w:tcBorders>
            <w:vAlign w:val="center"/>
          </w:tcPr>
          <w:p w14:paraId="7100BB6C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right w:val="single" w:sz="4" w:space="0" w:color="auto"/>
            </w:tcBorders>
            <w:vAlign w:val="center"/>
          </w:tcPr>
          <w:p w14:paraId="44231E23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9" w:type="dxa"/>
            <w:tcBorders>
              <w:left w:val="single" w:sz="4" w:space="0" w:color="auto"/>
            </w:tcBorders>
            <w:vAlign w:val="center"/>
          </w:tcPr>
          <w:p w14:paraId="124800F4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Eight</w:t>
            </w:r>
          </w:p>
        </w:tc>
        <w:tc>
          <w:tcPr>
            <w:tcW w:w="1401" w:type="dxa"/>
            <w:vAlign w:val="center"/>
          </w:tcPr>
          <w:p w14:paraId="6F595B1E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2,651</w:t>
            </w:r>
          </w:p>
        </w:tc>
      </w:tr>
      <w:tr w:rsidR="00363ECB" w:rsidRPr="00260D80" w14:paraId="317AA82B" w14:textId="77777777" w:rsidTr="009D7674">
        <w:trPr>
          <w:jc w:val="center"/>
        </w:trPr>
        <w:tc>
          <w:tcPr>
            <w:tcW w:w="1590" w:type="dxa"/>
            <w:vMerge/>
            <w:tcBorders>
              <w:right w:val="single" w:sz="4" w:space="0" w:color="auto"/>
            </w:tcBorders>
            <w:vAlign w:val="center"/>
          </w:tcPr>
          <w:p w14:paraId="51082AF0" w14:textId="77777777" w:rsidR="00363ECB" w:rsidRPr="00152A5B" w:rsidRDefault="00363ECB" w:rsidP="00FA3719">
            <w:pPr>
              <w:tabs>
                <w:tab w:val="center" w:pos="4320"/>
                <w:tab w:val="right" w:pos="8640"/>
              </w:tabs>
              <w:spacing w:before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4" w:space="0" w:color="auto"/>
            </w:tcBorders>
            <w:vAlign w:val="center"/>
          </w:tcPr>
          <w:p w14:paraId="41640E4E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right w:val="single" w:sz="4" w:space="0" w:color="auto"/>
            </w:tcBorders>
            <w:vAlign w:val="center"/>
          </w:tcPr>
          <w:p w14:paraId="3685AD5D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9" w:type="dxa"/>
            <w:tcBorders>
              <w:left w:val="single" w:sz="4" w:space="0" w:color="auto"/>
            </w:tcBorders>
            <w:vAlign w:val="center"/>
          </w:tcPr>
          <w:p w14:paraId="41589942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Ten</w:t>
            </w:r>
          </w:p>
        </w:tc>
        <w:tc>
          <w:tcPr>
            <w:tcW w:w="1401" w:type="dxa"/>
            <w:vAlign w:val="center"/>
          </w:tcPr>
          <w:p w14:paraId="7EFC55F6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</w:tr>
      <w:tr w:rsidR="00363ECB" w:rsidRPr="00260D80" w14:paraId="5443D665" w14:textId="77777777" w:rsidTr="009D7674">
        <w:trPr>
          <w:jc w:val="center"/>
        </w:trPr>
        <w:tc>
          <w:tcPr>
            <w:tcW w:w="159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9923F61" w14:textId="77777777" w:rsidR="00363ECB" w:rsidRPr="00152A5B" w:rsidRDefault="00363ECB" w:rsidP="00FA3719">
            <w:pPr>
              <w:tabs>
                <w:tab w:val="center" w:pos="4320"/>
                <w:tab w:val="right" w:pos="8640"/>
              </w:tabs>
              <w:spacing w:before="1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0A964A34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Excluded</w:t>
            </w:r>
          </w:p>
        </w:tc>
        <w:tc>
          <w:tcPr>
            <w:tcW w:w="143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2A957D3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39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759B168F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Excluded</w:t>
            </w:r>
          </w:p>
        </w:tc>
        <w:tc>
          <w:tcPr>
            <w:tcW w:w="1401" w:type="dxa"/>
            <w:tcBorders>
              <w:bottom w:val="double" w:sz="4" w:space="0" w:color="auto"/>
            </w:tcBorders>
            <w:vAlign w:val="center"/>
          </w:tcPr>
          <w:p w14:paraId="59BD7524" w14:textId="77777777" w:rsidR="00363ECB" w:rsidRPr="00152A5B" w:rsidRDefault="00363ECB" w:rsidP="00FA3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A5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14:paraId="003A613F" w14:textId="77777777" w:rsidR="00FA3719" w:rsidRPr="00466EA1" w:rsidRDefault="00FA3719" w:rsidP="003275CE">
      <w:pPr>
        <w:ind w:left="2430" w:right="2430" w:firstLine="288"/>
        <w:jc w:val="center"/>
        <w:rPr>
          <w:rFonts w:ascii="Times New Roman" w:hAnsi="Times New Roman" w:cs="Times New Roman"/>
          <w:sz w:val="22"/>
          <w:szCs w:val="22"/>
        </w:rPr>
      </w:pPr>
    </w:p>
    <w:p w14:paraId="639F8A9A" w14:textId="76662366" w:rsidR="00FB7DBA" w:rsidRPr="00E906FD" w:rsidRDefault="00A74BCF" w:rsidP="00152A5B">
      <w:pPr>
        <w:ind w:left="1620" w:right="1652"/>
        <w:jc w:val="center"/>
        <w:rPr>
          <w:rFonts w:ascii="Times New Roman" w:hAnsi="Times New Roman" w:cs="Times New Roman"/>
          <w:sz w:val="22"/>
          <w:szCs w:val="22"/>
        </w:rPr>
      </w:pPr>
      <w:r w:rsidRPr="00260D80">
        <w:rPr>
          <w:rFonts w:ascii="Times New Roman" w:hAnsi="Times New Roman" w:cs="Times New Roman"/>
          <w:b/>
          <w:sz w:val="22"/>
          <w:szCs w:val="22"/>
        </w:rPr>
        <w:t>TABLE 4.</w:t>
      </w:r>
      <w:r w:rsidRPr="00260D80">
        <w:rPr>
          <w:rFonts w:ascii="Times New Roman" w:hAnsi="Times New Roman" w:cs="Times New Roman"/>
          <w:sz w:val="22"/>
          <w:szCs w:val="22"/>
        </w:rPr>
        <w:t xml:space="preserve"> </w:t>
      </w:r>
      <w:r w:rsidR="00FB7DBA" w:rsidRPr="00260D80">
        <w:rPr>
          <w:rFonts w:ascii="Times New Roman" w:hAnsi="Times New Roman" w:cs="Times New Roman"/>
          <w:i/>
          <w:sz w:val="22"/>
          <w:szCs w:val="22"/>
        </w:rPr>
        <w:t xml:space="preserve">Kosovo’s stock of FDI in the post war years (selected countries; in </w:t>
      </w:r>
      <w:r w:rsidR="00FB7DBA" w:rsidRPr="00E906FD">
        <w:rPr>
          <w:rFonts w:ascii="Times New Roman" w:eastAsia="Times New Roman" w:hAnsi="Times New Roman" w:cs="Times New Roman"/>
          <w:i/>
          <w:sz w:val="22"/>
          <w:szCs w:val="22"/>
        </w:rPr>
        <w:t>m. €)</w:t>
      </w:r>
    </w:p>
    <w:tbl>
      <w:tblPr>
        <w:tblW w:w="3657" w:type="dxa"/>
        <w:jc w:val="center"/>
        <w:tblLook w:val="04A0" w:firstRow="1" w:lastRow="0" w:firstColumn="1" w:lastColumn="0" w:noHBand="0" w:noVBand="1"/>
      </w:tblPr>
      <w:tblGrid>
        <w:gridCol w:w="2256"/>
        <w:gridCol w:w="1401"/>
      </w:tblGrid>
      <w:tr w:rsidR="00FB7DBA" w:rsidRPr="00260D80" w14:paraId="75029DBF" w14:textId="77777777" w:rsidTr="00E70D79">
        <w:trPr>
          <w:trHeight w:val="280"/>
          <w:jc w:val="center"/>
        </w:trPr>
        <w:tc>
          <w:tcPr>
            <w:tcW w:w="225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950F1B" w14:textId="77777777" w:rsidR="00FB7DBA" w:rsidRPr="00260D80" w:rsidRDefault="00FB7DBA" w:rsidP="00466E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0D80">
              <w:rPr>
                <w:rFonts w:ascii="Times New Roman" w:hAnsi="Times New Roman" w:cs="Times New Roman"/>
                <w:sz w:val="22"/>
                <w:szCs w:val="22"/>
              </w:rPr>
              <w:t>Country</w:t>
            </w:r>
          </w:p>
        </w:tc>
        <w:tc>
          <w:tcPr>
            <w:tcW w:w="1401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7184DB" w14:textId="77777777" w:rsidR="00FB7DBA" w:rsidRPr="00260D80" w:rsidRDefault="00FB7DBA" w:rsidP="003275CE">
            <w:pPr>
              <w:ind w:firstLine="28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60D80">
              <w:rPr>
                <w:rFonts w:ascii="Times New Roman" w:hAnsi="Times New Roman" w:cs="Times New Roman"/>
                <w:sz w:val="22"/>
                <w:szCs w:val="22"/>
              </w:rPr>
              <w:t>Amount</w:t>
            </w:r>
          </w:p>
        </w:tc>
      </w:tr>
      <w:tr w:rsidR="00FB7DBA" w:rsidRPr="00260D80" w14:paraId="0C452423" w14:textId="77777777" w:rsidTr="00E70D79">
        <w:trPr>
          <w:trHeight w:val="280"/>
          <w:jc w:val="center"/>
        </w:trPr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A093" w14:textId="77777777" w:rsidR="00FB7DBA" w:rsidRPr="00260D80" w:rsidRDefault="00FB7DBA" w:rsidP="00466E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0D80">
              <w:rPr>
                <w:rFonts w:ascii="Times New Roman" w:hAnsi="Times New Roman" w:cs="Times New Roman"/>
                <w:sz w:val="22"/>
                <w:szCs w:val="22"/>
              </w:rPr>
              <w:t>European Union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E85E" w14:textId="77777777" w:rsidR="00FB7DBA" w:rsidRPr="00E906FD" w:rsidRDefault="00FB7DBA" w:rsidP="003275CE">
            <w:pPr>
              <w:ind w:firstLine="28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06FD">
              <w:rPr>
                <w:rFonts w:ascii="Times New Roman" w:hAnsi="Times New Roman" w:cs="Times New Roman"/>
                <w:sz w:val="22"/>
                <w:szCs w:val="22"/>
              </w:rPr>
              <w:t>1,101.6</w:t>
            </w:r>
          </w:p>
        </w:tc>
      </w:tr>
      <w:tr w:rsidR="00FB7DBA" w:rsidRPr="00260D80" w14:paraId="5E0573FC" w14:textId="77777777" w:rsidTr="00E70D79">
        <w:trPr>
          <w:trHeight w:val="280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8045B" w14:textId="77777777" w:rsidR="00FB7DBA" w:rsidRPr="00260D80" w:rsidRDefault="00FB7DBA" w:rsidP="00466EA1">
            <w:pPr>
              <w:ind w:left="371"/>
              <w:rPr>
                <w:rFonts w:ascii="Times New Roman" w:hAnsi="Times New Roman" w:cs="Times New Roman"/>
                <w:sz w:val="22"/>
                <w:szCs w:val="22"/>
              </w:rPr>
            </w:pPr>
            <w:r w:rsidRPr="00260D80">
              <w:rPr>
                <w:rFonts w:ascii="Times New Roman" w:hAnsi="Times New Roman" w:cs="Times New Roman"/>
                <w:sz w:val="22"/>
                <w:szCs w:val="22"/>
              </w:rPr>
              <w:t>Germany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EAA5" w14:textId="77777777" w:rsidR="00FB7DBA" w:rsidRPr="00E906FD" w:rsidRDefault="00FB7DBA" w:rsidP="003275CE">
            <w:pPr>
              <w:ind w:firstLine="28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06FD">
              <w:rPr>
                <w:rFonts w:ascii="Times New Roman" w:hAnsi="Times New Roman" w:cs="Times New Roman"/>
                <w:sz w:val="22"/>
                <w:szCs w:val="22"/>
              </w:rPr>
              <w:t>299.5</w:t>
            </w:r>
          </w:p>
        </w:tc>
      </w:tr>
      <w:tr w:rsidR="00FB7DBA" w:rsidRPr="00260D80" w14:paraId="0DB41D10" w14:textId="77777777" w:rsidTr="00E70D79">
        <w:trPr>
          <w:trHeight w:val="280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85A8" w14:textId="77777777" w:rsidR="00FB7DBA" w:rsidRPr="00260D80" w:rsidRDefault="00FB7DBA" w:rsidP="00466EA1">
            <w:pPr>
              <w:ind w:left="371"/>
              <w:rPr>
                <w:rFonts w:ascii="Times New Roman" w:hAnsi="Times New Roman" w:cs="Times New Roman"/>
                <w:sz w:val="22"/>
                <w:szCs w:val="22"/>
              </w:rPr>
            </w:pPr>
            <w:r w:rsidRPr="00260D80">
              <w:rPr>
                <w:rFonts w:ascii="Times New Roman" w:hAnsi="Times New Roman" w:cs="Times New Roman"/>
                <w:sz w:val="22"/>
                <w:szCs w:val="22"/>
              </w:rPr>
              <w:t>Slovenia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4238" w14:textId="77777777" w:rsidR="00FB7DBA" w:rsidRPr="00E906FD" w:rsidRDefault="00FB7DBA" w:rsidP="003275CE">
            <w:pPr>
              <w:ind w:firstLine="28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06FD">
              <w:rPr>
                <w:rFonts w:ascii="Times New Roman" w:hAnsi="Times New Roman" w:cs="Times New Roman"/>
                <w:sz w:val="22"/>
                <w:szCs w:val="22"/>
              </w:rPr>
              <w:t>222.3</w:t>
            </w:r>
          </w:p>
        </w:tc>
      </w:tr>
      <w:tr w:rsidR="00FB7DBA" w:rsidRPr="00260D80" w14:paraId="3F6AA31E" w14:textId="77777777" w:rsidTr="00E70D79">
        <w:trPr>
          <w:trHeight w:val="280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A390" w14:textId="77777777" w:rsidR="00FB7DBA" w:rsidRPr="00260D80" w:rsidRDefault="00FB7DBA" w:rsidP="00466EA1">
            <w:pPr>
              <w:ind w:left="371"/>
              <w:rPr>
                <w:rFonts w:ascii="Times New Roman" w:hAnsi="Times New Roman" w:cs="Times New Roman"/>
                <w:sz w:val="22"/>
                <w:szCs w:val="22"/>
              </w:rPr>
            </w:pPr>
            <w:r w:rsidRPr="00260D80">
              <w:rPr>
                <w:rFonts w:ascii="Times New Roman" w:hAnsi="Times New Roman" w:cs="Times New Roman"/>
                <w:sz w:val="22"/>
                <w:szCs w:val="22"/>
              </w:rPr>
              <w:t>Austria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A05C" w14:textId="77777777" w:rsidR="00FB7DBA" w:rsidRPr="00E906FD" w:rsidRDefault="00FB7DBA" w:rsidP="003275CE">
            <w:pPr>
              <w:ind w:firstLine="28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06FD">
              <w:rPr>
                <w:rFonts w:ascii="Times New Roman" w:hAnsi="Times New Roman" w:cs="Times New Roman"/>
                <w:sz w:val="22"/>
                <w:szCs w:val="22"/>
              </w:rPr>
              <w:t>183.4</w:t>
            </w:r>
          </w:p>
        </w:tc>
      </w:tr>
      <w:tr w:rsidR="00FB7DBA" w:rsidRPr="00260D80" w14:paraId="0925FCED" w14:textId="77777777" w:rsidTr="00E70D79">
        <w:trPr>
          <w:trHeight w:val="280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8A7D" w14:textId="77777777" w:rsidR="00FB7DBA" w:rsidRPr="00260D80" w:rsidRDefault="00FB7DBA" w:rsidP="00466EA1">
            <w:pPr>
              <w:ind w:left="371"/>
              <w:rPr>
                <w:rFonts w:ascii="Times New Roman" w:hAnsi="Times New Roman" w:cs="Times New Roman"/>
                <w:sz w:val="22"/>
                <w:szCs w:val="22"/>
              </w:rPr>
            </w:pPr>
            <w:r w:rsidRPr="00260D80">
              <w:rPr>
                <w:rFonts w:ascii="Times New Roman" w:hAnsi="Times New Roman" w:cs="Times New Roman"/>
                <w:sz w:val="22"/>
                <w:szCs w:val="22"/>
              </w:rPr>
              <w:t>Holland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DE063" w14:textId="77777777" w:rsidR="00FB7DBA" w:rsidRPr="00E906FD" w:rsidRDefault="00FB7DBA" w:rsidP="003275CE">
            <w:pPr>
              <w:ind w:firstLine="28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06FD">
              <w:rPr>
                <w:rFonts w:ascii="Times New Roman" w:hAnsi="Times New Roman" w:cs="Times New Roman"/>
                <w:sz w:val="22"/>
                <w:szCs w:val="22"/>
              </w:rPr>
              <w:t>162.6</w:t>
            </w:r>
          </w:p>
        </w:tc>
      </w:tr>
      <w:tr w:rsidR="00FB7DBA" w:rsidRPr="00260D80" w14:paraId="2FEF8787" w14:textId="77777777" w:rsidTr="00E70D79">
        <w:trPr>
          <w:trHeight w:val="280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C41A" w14:textId="77777777" w:rsidR="00FB7DBA" w:rsidRPr="00260D80" w:rsidRDefault="00FB7DBA" w:rsidP="00466EA1">
            <w:pPr>
              <w:ind w:left="371"/>
              <w:rPr>
                <w:rFonts w:ascii="Times New Roman" w:hAnsi="Times New Roman" w:cs="Times New Roman"/>
                <w:sz w:val="22"/>
                <w:szCs w:val="22"/>
              </w:rPr>
            </w:pPr>
            <w:r w:rsidRPr="00260D80">
              <w:rPr>
                <w:rFonts w:ascii="Times New Roman" w:hAnsi="Times New Roman" w:cs="Times New Roman"/>
                <w:sz w:val="22"/>
                <w:szCs w:val="22"/>
              </w:rPr>
              <w:t xml:space="preserve">Great Britain 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CF2B" w14:textId="77777777" w:rsidR="00FB7DBA" w:rsidRPr="00E906FD" w:rsidRDefault="00FB7DBA" w:rsidP="003275CE">
            <w:pPr>
              <w:ind w:firstLine="28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06FD">
              <w:rPr>
                <w:rFonts w:ascii="Times New Roman" w:hAnsi="Times New Roman" w:cs="Times New Roman"/>
                <w:sz w:val="22"/>
                <w:szCs w:val="22"/>
              </w:rPr>
              <w:t>64.5</w:t>
            </w:r>
          </w:p>
        </w:tc>
      </w:tr>
      <w:tr w:rsidR="00FB7DBA" w:rsidRPr="00260D80" w14:paraId="32FACC71" w14:textId="77777777" w:rsidTr="00E70D79">
        <w:trPr>
          <w:trHeight w:val="280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16E5" w14:textId="77777777" w:rsidR="00FB7DBA" w:rsidRPr="00260D80" w:rsidRDefault="00FB7DBA" w:rsidP="00466EA1">
            <w:pPr>
              <w:ind w:left="371"/>
              <w:rPr>
                <w:rFonts w:ascii="Times New Roman" w:hAnsi="Times New Roman" w:cs="Times New Roman"/>
                <w:sz w:val="22"/>
                <w:szCs w:val="22"/>
              </w:rPr>
            </w:pPr>
            <w:r w:rsidRPr="00260D80">
              <w:rPr>
                <w:rFonts w:ascii="Times New Roman" w:hAnsi="Times New Roman" w:cs="Times New Roman"/>
                <w:sz w:val="22"/>
                <w:szCs w:val="22"/>
              </w:rPr>
              <w:t>Bulgaria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024C" w14:textId="77777777" w:rsidR="00FB7DBA" w:rsidRPr="00E906FD" w:rsidRDefault="00FB7DBA" w:rsidP="003275CE">
            <w:pPr>
              <w:ind w:firstLine="28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06FD">
              <w:rPr>
                <w:rFonts w:ascii="Times New Roman" w:hAnsi="Times New Roman" w:cs="Times New Roman"/>
                <w:sz w:val="22"/>
                <w:szCs w:val="22"/>
              </w:rPr>
              <w:t>33.2</w:t>
            </w:r>
          </w:p>
        </w:tc>
      </w:tr>
      <w:tr w:rsidR="00FB7DBA" w:rsidRPr="00260D80" w14:paraId="59131475" w14:textId="77777777" w:rsidTr="00E70D79">
        <w:trPr>
          <w:trHeight w:val="280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D2AE" w14:textId="77777777" w:rsidR="00FB7DBA" w:rsidRPr="00260D80" w:rsidRDefault="00FB7DBA" w:rsidP="00466EA1">
            <w:pPr>
              <w:ind w:left="371"/>
              <w:rPr>
                <w:rFonts w:ascii="Times New Roman" w:hAnsi="Times New Roman" w:cs="Times New Roman"/>
                <w:sz w:val="22"/>
                <w:szCs w:val="22"/>
              </w:rPr>
            </w:pPr>
            <w:r w:rsidRPr="00260D80">
              <w:rPr>
                <w:rFonts w:ascii="Times New Roman" w:hAnsi="Times New Roman" w:cs="Times New Roman"/>
                <w:sz w:val="22"/>
                <w:szCs w:val="22"/>
              </w:rPr>
              <w:t>Other EU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4FED" w14:textId="77777777" w:rsidR="00FB7DBA" w:rsidRPr="00E906FD" w:rsidRDefault="00FB7DBA" w:rsidP="003275CE">
            <w:pPr>
              <w:ind w:firstLine="28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06FD">
              <w:rPr>
                <w:rFonts w:ascii="Times New Roman" w:hAnsi="Times New Roman" w:cs="Times New Roman"/>
                <w:sz w:val="22"/>
                <w:szCs w:val="22"/>
              </w:rPr>
              <w:t>136.0</w:t>
            </w:r>
          </w:p>
        </w:tc>
      </w:tr>
      <w:tr w:rsidR="00FB7DBA" w:rsidRPr="00260D80" w14:paraId="499AC9D1" w14:textId="77777777" w:rsidTr="00E70D79">
        <w:trPr>
          <w:trHeight w:val="280"/>
          <w:jc w:val="center"/>
        </w:trPr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4B2C8" w14:textId="77777777" w:rsidR="00FB7DBA" w:rsidRPr="00260D80" w:rsidRDefault="00FB7DBA" w:rsidP="00466E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0D80">
              <w:rPr>
                <w:rFonts w:ascii="Times New Roman" w:hAnsi="Times New Roman" w:cs="Times New Roman"/>
                <w:sz w:val="22"/>
                <w:szCs w:val="22"/>
              </w:rPr>
              <w:t xml:space="preserve">Turkey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B7A2C" w14:textId="77777777" w:rsidR="00FB7DBA" w:rsidRPr="00E906FD" w:rsidRDefault="00FB7DBA" w:rsidP="003275CE">
            <w:pPr>
              <w:ind w:firstLine="28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06FD">
              <w:rPr>
                <w:rFonts w:ascii="Times New Roman" w:hAnsi="Times New Roman" w:cs="Times New Roman"/>
                <w:sz w:val="22"/>
                <w:szCs w:val="22"/>
              </w:rPr>
              <w:t>351.4</w:t>
            </w:r>
          </w:p>
        </w:tc>
      </w:tr>
    </w:tbl>
    <w:p w14:paraId="523D3D0D" w14:textId="77777777" w:rsidR="00FB7DBA" w:rsidRPr="00260D80" w:rsidRDefault="00FB7DBA" w:rsidP="00466EA1">
      <w:pPr>
        <w:ind w:left="1440" w:firstLine="360"/>
        <w:rPr>
          <w:rFonts w:ascii="Times New Roman" w:eastAsia="MS Mincho" w:hAnsi="Times New Roman" w:cs="Times New Roman"/>
          <w:spacing w:val="-8"/>
          <w:sz w:val="20"/>
          <w:szCs w:val="20"/>
        </w:rPr>
      </w:pPr>
      <w:r w:rsidRPr="00260D80">
        <w:rPr>
          <w:rFonts w:ascii="Times New Roman" w:eastAsia="MS Mincho" w:hAnsi="Times New Roman" w:cs="Times New Roman"/>
          <w:i/>
          <w:spacing w:val="-8"/>
          <w:sz w:val="20"/>
          <w:szCs w:val="20"/>
        </w:rPr>
        <w:t>Source</w:t>
      </w:r>
      <w:r w:rsidRPr="00260D80">
        <w:rPr>
          <w:rFonts w:ascii="Times New Roman" w:eastAsia="MS Mincho" w:hAnsi="Times New Roman" w:cs="Times New Roman"/>
          <w:spacing w:val="-8"/>
          <w:sz w:val="20"/>
          <w:szCs w:val="20"/>
        </w:rPr>
        <w:t>: Central Bank of Kosovo (various years)</w:t>
      </w:r>
    </w:p>
    <w:p w14:paraId="5AB168A1" w14:textId="77777777" w:rsidR="00FA3719" w:rsidRPr="00466EA1" w:rsidRDefault="00FA3719" w:rsidP="003275CE">
      <w:pPr>
        <w:ind w:firstLine="288"/>
        <w:jc w:val="center"/>
        <w:rPr>
          <w:rFonts w:ascii="Times New Roman" w:hAnsi="Times New Roman" w:cs="Times New Roman"/>
          <w:sz w:val="20"/>
          <w:szCs w:val="20"/>
        </w:rPr>
      </w:pPr>
    </w:p>
    <w:p w14:paraId="6307D1E9" w14:textId="77777777" w:rsidR="00FA3719" w:rsidRPr="00466EA1" w:rsidRDefault="00FA3719" w:rsidP="003275CE">
      <w:pPr>
        <w:ind w:left="1530" w:right="1530" w:firstLine="288"/>
        <w:jc w:val="center"/>
        <w:rPr>
          <w:rFonts w:ascii="Times New Roman" w:hAnsi="Times New Roman" w:cs="Times New Roman"/>
          <w:sz w:val="22"/>
          <w:szCs w:val="22"/>
        </w:rPr>
      </w:pPr>
    </w:p>
    <w:p w14:paraId="3DE7B0AF" w14:textId="506E172A" w:rsidR="00FB7DBA" w:rsidRPr="00260D80" w:rsidRDefault="00A74BCF" w:rsidP="00152A5B">
      <w:pPr>
        <w:ind w:right="392" w:firstLine="288"/>
        <w:rPr>
          <w:rFonts w:ascii="Times New Roman" w:eastAsia="Times New Roman" w:hAnsi="Times New Roman" w:cs="Times New Roman"/>
          <w:sz w:val="22"/>
          <w:szCs w:val="22"/>
        </w:rPr>
      </w:pPr>
      <w:r w:rsidRPr="00260D80">
        <w:rPr>
          <w:rFonts w:ascii="Times New Roman" w:hAnsi="Times New Roman" w:cs="Times New Roman"/>
          <w:b/>
          <w:sz w:val="22"/>
          <w:szCs w:val="22"/>
        </w:rPr>
        <w:t>TABLE 5</w:t>
      </w:r>
      <w:r w:rsidR="00E70D79" w:rsidRPr="00E906FD">
        <w:rPr>
          <w:rFonts w:ascii="Times New Roman" w:hAnsi="Times New Roman" w:cs="Times New Roman"/>
          <w:sz w:val="22"/>
          <w:szCs w:val="22"/>
        </w:rPr>
        <w:t xml:space="preserve">. </w:t>
      </w:r>
      <w:r w:rsidR="00FB7DBA" w:rsidRPr="00E906FD">
        <w:rPr>
          <w:rFonts w:ascii="Times New Roman" w:hAnsi="Times New Roman" w:cs="Times New Roman"/>
          <w:i/>
          <w:sz w:val="22"/>
          <w:szCs w:val="22"/>
        </w:rPr>
        <w:t xml:space="preserve">Net flow of FDI in Kosovo (selected countries; in </w:t>
      </w:r>
      <w:r w:rsidR="00FB7DBA" w:rsidRPr="00260D80">
        <w:rPr>
          <w:rFonts w:ascii="Times New Roman" w:eastAsia="Times New Roman" w:hAnsi="Times New Roman" w:cs="Times New Roman"/>
          <w:i/>
          <w:sz w:val="22"/>
          <w:szCs w:val="22"/>
        </w:rPr>
        <w:t>m. €)</w:t>
      </w:r>
    </w:p>
    <w:tbl>
      <w:tblPr>
        <w:tblW w:w="6569" w:type="dxa"/>
        <w:jc w:val="center"/>
        <w:tblLook w:val="04A0" w:firstRow="1" w:lastRow="0" w:firstColumn="1" w:lastColumn="0" w:noHBand="0" w:noVBand="1"/>
      </w:tblPr>
      <w:tblGrid>
        <w:gridCol w:w="1885"/>
        <w:gridCol w:w="1171"/>
        <w:gridCol w:w="1171"/>
        <w:gridCol w:w="1171"/>
        <w:gridCol w:w="1171"/>
      </w:tblGrid>
      <w:tr w:rsidR="00FB7DBA" w:rsidRPr="00260D80" w14:paraId="79C722C0" w14:textId="77777777" w:rsidTr="00FA3719">
        <w:trPr>
          <w:trHeight w:val="89"/>
          <w:jc w:val="center"/>
        </w:trPr>
        <w:tc>
          <w:tcPr>
            <w:tcW w:w="188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1F33A" w14:textId="77777777" w:rsidR="00FB7DBA" w:rsidRPr="00260D80" w:rsidRDefault="00FB7DBA" w:rsidP="00FA3719">
            <w:pPr>
              <w:tabs>
                <w:tab w:val="center" w:pos="4320"/>
                <w:tab w:val="right" w:pos="8640"/>
              </w:tabs>
              <w:spacing w:before="100"/>
              <w:ind w:firstLine="288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71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8CE71D" w14:textId="77777777" w:rsidR="00FB7DBA" w:rsidRPr="00260D80" w:rsidRDefault="00FB7DBA" w:rsidP="00FA3719">
            <w:pPr>
              <w:ind w:firstLine="288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60D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2008</w:t>
            </w:r>
          </w:p>
        </w:tc>
        <w:tc>
          <w:tcPr>
            <w:tcW w:w="1171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8B24DE" w14:textId="77777777" w:rsidR="00FB7DBA" w:rsidRPr="00260D80" w:rsidRDefault="00FB7DBA" w:rsidP="00FA3719">
            <w:pPr>
              <w:ind w:firstLine="288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60D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2011</w:t>
            </w:r>
          </w:p>
        </w:tc>
        <w:tc>
          <w:tcPr>
            <w:tcW w:w="1171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12309D" w14:textId="77777777" w:rsidR="00FB7DBA" w:rsidRPr="00260D80" w:rsidRDefault="00FB7DBA" w:rsidP="00FA3719">
            <w:pPr>
              <w:ind w:firstLine="288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60D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2014</w:t>
            </w:r>
          </w:p>
        </w:tc>
        <w:tc>
          <w:tcPr>
            <w:tcW w:w="1171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FDA50" w14:textId="77777777" w:rsidR="00FB7DBA" w:rsidRPr="00260D80" w:rsidRDefault="00FB7DBA" w:rsidP="00FA3719">
            <w:pPr>
              <w:ind w:firstLine="288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60D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2015</w:t>
            </w:r>
          </w:p>
        </w:tc>
      </w:tr>
      <w:tr w:rsidR="00FB7DBA" w:rsidRPr="00260D80" w14:paraId="61196376" w14:textId="77777777" w:rsidTr="00466EA1">
        <w:trPr>
          <w:trHeight w:val="63"/>
          <w:jc w:val="center"/>
        </w:trPr>
        <w:tc>
          <w:tcPr>
            <w:tcW w:w="1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0AF8" w14:textId="77777777" w:rsidR="00FB7DBA" w:rsidRPr="00E906FD" w:rsidRDefault="00FB7DBA" w:rsidP="00466EA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60D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Germany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C99A" w14:textId="77777777" w:rsidR="00FB7DBA" w:rsidRPr="00260D80" w:rsidRDefault="00FB7DBA" w:rsidP="00FA3719">
            <w:pPr>
              <w:ind w:firstLine="288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60D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44.0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D5F0" w14:textId="77777777" w:rsidR="00FB7DBA" w:rsidRPr="00260D80" w:rsidRDefault="00FB7DBA" w:rsidP="00FA3719">
            <w:pPr>
              <w:ind w:firstLine="288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60D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66.6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2C7C" w14:textId="77777777" w:rsidR="00FB7DBA" w:rsidRPr="00260D80" w:rsidRDefault="00FB7DBA" w:rsidP="00FA3719">
            <w:pPr>
              <w:ind w:firstLine="288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60D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29.4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51CA" w14:textId="77777777" w:rsidR="00FB7DBA" w:rsidRPr="00260D80" w:rsidRDefault="00FB7DBA" w:rsidP="00FA3719">
            <w:pPr>
              <w:ind w:firstLine="288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60D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45.3</w:t>
            </w:r>
          </w:p>
        </w:tc>
      </w:tr>
      <w:tr w:rsidR="00FB7DBA" w:rsidRPr="00260D80" w14:paraId="22C795A9" w14:textId="77777777" w:rsidTr="00466EA1">
        <w:trPr>
          <w:trHeight w:val="73"/>
          <w:jc w:val="center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7EBC" w14:textId="77777777" w:rsidR="00FB7DBA" w:rsidRPr="00260D80" w:rsidRDefault="00FB7DBA" w:rsidP="00466EA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60D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Slovenia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B61B" w14:textId="77777777" w:rsidR="00FB7DBA" w:rsidRPr="00260D80" w:rsidRDefault="00FB7DBA" w:rsidP="00FA3719">
            <w:pPr>
              <w:ind w:firstLine="288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E906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44.3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1268" w14:textId="77777777" w:rsidR="00FB7DBA" w:rsidRPr="00260D80" w:rsidRDefault="00FB7DBA" w:rsidP="00FA3719">
            <w:pPr>
              <w:ind w:firstLine="288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60D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16.2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0F81" w14:textId="77777777" w:rsidR="00FB7DBA" w:rsidRPr="00260D80" w:rsidRDefault="00FB7DBA" w:rsidP="00FA3719">
            <w:pPr>
              <w:ind w:firstLine="288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60D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-9.4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74BE" w14:textId="77777777" w:rsidR="00FB7DBA" w:rsidRPr="00260D80" w:rsidRDefault="00FB7DBA" w:rsidP="00FA3719">
            <w:pPr>
              <w:ind w:firstLine="288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60D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5.6</w:t>
            </w:r>
          </w:p>
        </w:tc>
      </w:tr>
      <w:tr w:rsidR="00FB7DBA" w:rsidRPr="00260D80" w14:paraId="1815A304" w14:textId="77777777" w:rsidTr="00466EA1">
        <w:trPr>
          <w:trHeight w:val="73"/>
          <w:jc w:val="center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38F4" w14:textId="77777777" w:rsidR="00FB7DBA" w:rsidRPr="00260D80" w:rsidRDefault="00FB7DBA" w:rsidP="00466EA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60D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Austria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CA32" w14:textId="77777777" w:rsidR="00FB7DBA" w:rsidRPr="00260D80" w:rsidRDefault="00FB7DBA" w:rsidP="00FA3719">
            <w:pPr>
              <w:ind w:firstLine="288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E906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51.3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CD09" w14:textId="77777777" w:rsidR="00FB7DBA" w:rsidRPr="00260D80" w:rsidRDefault="00FB7DBA" w:rsidP="00FA3719">
            <w:pPr>
              <w:ind w:firstLine="288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60D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19.6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1A942" w14:textId="77777777" w:rsidR="00FB7DBA" w:rsidRPr="00260D80" w:rsidRDefault="00FB7DBA" w:rsidP="00FA3719">
            <w:pPr>
              <w:ind w:firstLine="288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60D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30.3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44C2" w14:textId="77777777" w:rsidR="00FB7DBA" w:rsidRPr="00260D80" w:rsidRDefault="00FB7DBA" w:rsidP="00FA3719">
            <w:pPr>
              <w:ind w:firstLine="288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60D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33.5</w:t>
            </w:r>
          </w:p>
        </w:tc>
      </w:tr>
      <w:tr w:rsidR="00FB7DBA" w:rsidRPr="00260D80" w14:paraId="3D3185B7" w14:textId="77777777" w:rsidTr="00466EA1">
        <w:trPr>
          <w:trHeight w:val="73"/>
          <w:jc w:val="center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9072" w14:textId="77777777" w:rsidR="00FB7DBA" w:rsidRPr="00260D80" w:rsidRDefault="00FB7DBA" w:rsidP="00466EA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60D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Holland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1D88" w14:textId="77777777" w:rsidR="00FB7DBA" w:rsidRPr="00260D80" w:rsidRDefault="00FB7DBA" w:rsidP="00FA3719">
            <w:pPr>
              <w:ind w:firstLine="288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E906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25.9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EC7C" w14:textId="77777777" w:rsidR="00FB7DBA" w:rsidRPr="00260D80" w:rsidRDefault="00FB7DBA" w:rsidP="00FA3719">
            <w:pPr>
              <w:ind w:firstLine="288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60D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4.7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111D" w14:textId="77777777" w:rsidR="00FB7DBA" w:rsidRPr="00260D80" w:rsidRDefault="00FB7DBA" w:rsidP="00FA3719">
            <w:pPr>
              <w:ind w:firstLine="288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60D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-7.8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44A0" w14:textId="77777777" w:rsidR="00FB7DBA" w:rsidRPr="00260D80" w:rsidRDefault="00FB7DBA" w:rsidP="00FA3719">
            <w:pPr>
              <w:ind w:firstLine="288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60D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-24.1</w:t>
            </w:r>
          </w:p>
        </w:tc>
      </w:tr>
      <w:tr w:rsidR="00FB7DBA" w:rsidRPr="00260D80" w14:paraId="6F095A9A" w14:textId="77777777" w:rsidTr="00466EA1">
        <w:trPr>
          <w:trHeight w:val="73"/>
          <w:jc w:val="center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A449" w14:textId="77777777" w:rsidR="00FB7DBA" w:rsidRPr="00260D80" w:rsidRDefault="00FB7DBA" w:rsidP="00466EA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60D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Great Britain 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4016" w14:textId="77777777" w:rsidR="00FB7DBA" w:rsidRPr="00260D80" w:rsidRDefault="00FB7DBA" w:rsidP="00FA3719">
            <w:pPr>
              <w:ind w:firstLine="288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E906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36.6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7557" w14:textId="77777777" w:rsidR="00FB7DBA" w:rsidRPr="00260D80" w:rsidRDefault="00FB7DBA" w:rsidP="00FA3719">
            <w:pPr>
              <w:ind w:firstLine="288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60D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80.1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7347" w14:textId="77777777" w:rsidR="00FB7DBA" w:rsidRPr="00260D80" w:rsidRDefault="00FB7DBA" w:rsidP="00FA3719">
            <w:pPr>
              <w:ind w:firstLine="288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60D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-39.5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618F" w14:textId="77777777" w:rsidR="00FB7DBA" w:rsidRPr="00260D80" w:rsidRDefault="00FB7DBA" w:rsidP="00FA3719">
            <w:pPr>
              <w:ind w:firstLine="288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60D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26.6</w:t>
            </w:r>
          </w:p>
        </w:tc>
      </w:tr>
      <w:tr w:rsidR="00FB7DBA" w:rsidRPr="00260D80" w14:paraId="0C956063" w14:textId="77777777" w:rsidTr="00646E65">
        <w:trPr>
          <w:trHeight w:val="73"/>
          <w:jc w:val="center"/>
        </w:trPr>
        <w:tc>
          <w:tcPr>
            <w:tcW w:w="18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B3DD" w14:textId="77777777" w:rsidR="00FB7DBA" w:rsidRPr="00260D80" w:rsidRDefault="00FB7DBA" w:rsidP="00466EA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60D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Turkey</w:t>
            </w:r>
          </w:p>
        </w:tc>
        <w:tc>
          <w:tcPr>
            <w:tcW w:w="11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111C" w14:textId="77777777" w:rsidR="00FB7DBA" w:rsidRPr="00260D80" w:rsidRDefault="00FB7DBA" w:rsidP="00FA3719">
            <w:pPr>
              <w:ind w:firstLine="288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E906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23.8</w:t>
            </w:r>
          </w:p>
        </w:tc>
        <w:tc>
          <w:tcPr>
            <w:tcW w:w="11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2143" w14:textId="77777777" w:rsidR="00FB7DBA" w:rsidRPr="00260D80" w:rsidRDefault="00FB7DBA" w:rsidP="00FA3719">
            <w:pPr>
              <w:ind w:firstLine="288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60D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34.7</w:t>
            </w:r>
          </w:p>
        </w:tc>
        <w:tc>
          <w:tcPr>
            <w:tcW w:w="11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C2C2" w14:textId="77777777" w:rsidR="00FB7DBA" w:rsidRPr="00260D80" w:rsidRDefault="00FB7DBA" w:rsidP="00FA3719">
            <w:pPr>
              <w:ind w:firstLine="288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60D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20.0</w:t>
            </w:r>
          </w:p>
        </w:tc>
        <w:tc>
          <w:tcPr>
            <w:tcW w:w="11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67E3" w14:textId="77777777" w:rsidR="00FB7DBA" w:rsidRPr="00260D80" w:rsidRDefault="00FB7DBA" w:rsidP="00FA3719">
            <w:pPr>
              <w:ind w:firstLine="288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60D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57.8</w:t>
            </w:r>
          </w:p>
        </w:tc>
      </w:tr>
      <w:tr w:rsidR="00FB7DBA" w:rsidRPr="00260D80" w14:paraId="4CDA0357" w14:textId="77777777" w:rsidTr="00646E65">
        <w:trPr>
          <w:trHeight w:val="73"/>
          <w:jc w:val="center"/>
        </w:trPr>
        <w:tc>
          <w:tcPr>
            <w:tcW w:w="188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F5F40" w14:textId="77777777" w:rsidR="00FB7DBA" w:rsidRPr="00260D80" w:rsidRDefault="00FB7DBA" w:rsidP="00466EA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60D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17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5F74F" w14:textId="77777777" w:rsidR="00FB7DBA" w:rsidRPr="00260D80" w:rsidRDefault="00FB7DBA" w:rsidP="00FA3719">
            <w:pPr>
              <w:ind w:firstLine="288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E906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369.9</w:t>
            </w:r>
          </w:p>
        </w:tc>
        <w:tc>
          <w:tcPr>
            <w:tcW w:w="117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D8278" w14:textId="77777777" w:rsidR="00FB7DBA" w:rsidRPr="00260D80" w:rsidRDefault="00FB7DBA" w:rsidP="00FA3719">
            <w:pPr>
              <w:ind w:firstLine="288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60D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384.4</w:t>
            </w:r>
          </w:p>
        </w:tc>
        <w:tc>
          <w:tcPr>
            <w:tcW w:w="117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42F73C" w14:textId="77777777" w:rsidR="00FB7DBA" w:rsidRPr="00260D80" w:rsidRDefault="00FB7DBA" w:rsidP="00FA3719">
            <w:pPr>
              <w:ind w:firstLine="288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60D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151.2</w:t>
            </w:r>
          </w:p>
        </w:tc>
        <w:tc>
          <w:tcPr>
            <w:tcW w:w="117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370C4" w14:textId="77777777" w:rsidR="00FB7DBA" w:rsidRPr="00260D80" w:rsidRDefault="00FB7DBA" w:rsidP="00FA3719">
            <w:pPr>
              <w:ind w:firstLine="288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260D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324.4</w:t>
            </w:r>
          </w:p>
        </w:tc>
      </w:tr>
    </w:tbl>
    <w:p w14:paraId="60DEECBC" w14:textId="77777777" w:rsidR="00646E65" w:rsidRDefault="00646E65" w:rsidP="00466EA1">
      <w:pPr>
        <w:ind w:firstLine="288"/>
        <w:jc w:val="both"/>
        <w:rPr>
          <w:rFonts w:ascii="Times New Roman" w:eastAsia="MS Mincho" w:hAnsi="Times New Roman" w:cs="Times New Roman"/>
          <w:spacing w:val="-2"/>
          <w:sz w:val="22"/>
          <w:szCs w:val="22"/>
          <w:lang w:val="en-US"/>
        </w:rPr>
      </w:pPr>
    </w:p>
    <w:p w14:paraId="1456224F" w14:textId="77777777" w:rsidR="00FA3719" w:rsidRPr="00466EA1" w:rsidRDefault="00FA3719" w:rsidP="003275CE">
      <w:pPr>
        <w:pStyle w:val="Caption"/>
        <w:keepNext/>
        <w:spacing w:after="0"/>
        <w:ind w:firstLine="288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</w:pPr>
      <w:bookmarkStart w:id="4" w:name="_Toc305169092"/>
    </w:p>
    <w:p w14:paraId="1D08EBB0" w14:textId="09919C9D" w:rsidR="00D74183" w:rsidRPr="00260D80" w:rsidRDefault="00A74BCF" w:rsidP="008A51FB">
      <w:pPr>
        <w:pStyle w:val="Caption"/>
        <w:keepNext/>
        <w:spacing w:after="0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260D80">
        <w:rPr>
          <w:rFonts w:ascii="Times New Roman" w:hAnsi="Times New Roman" w:cs="Times New Roman"/>
          <w:color w:val="auto"/>
          <w:sz w:val="22"/>
          <w:szCs w:val="22"/>
        </w:rPr>
        <w:t>TABLE 6.</w:t>
      </w:r>
      <w:r w:rsidRPr="00260D80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 w:rsidR="00D74183" w:rsidRPr="00E906FD">
        <w:rPr>
          <w:rFonts w:ascii="Times New Roman" w:hAnsi="Times New Roman" w:cs="Times New Roman"/>
          <w:b w:val="0"/>
          <w:i/>
          <w:color w:val="auto"/>
          <w:sz w:val="22"/>
          <w:szCs w:val="22"/>
        </w:rPr>
        <w:t>Kosovo: net foreign investment flows, by sector, 2007-2014</w:t>
      </w:r>
      <w:bookmarkEnd w:id="4"/>
    </w:p>
    <w:tbl>
      <w:tblPr>
        <w:tblW w:w="7125" w:type="dxa"/>
        <w:jc w:val="center"/>
        <w:tblLayout w:type="fixed"/>
        <w:tblLook w:val="04A0" w:firstRow="1" w:lastRow="0" w:firstColumn="1" w:lastColumn="0" w:noHBand="0" w:noVBand="1"/>
      </w:tblPr>
      <w:tblGrid>
        <w:gridCol w:w="3296"/>
        <w:gridCol w:w="883"/>
        <w:gridCol w:w="883"/>
        <w:gridCol w:w="993"/>
        <w:gridCol w:w="1070"/>
      </w:tblGrid>
      <w:tr w:rsidR="00D74183" w:rsidRPr="00260D80" w14:paraId="5E576DC7" w14:textId="77777777" w:rsidTr="00FA3719">
        <w:trPr>
          <w:trHeight w:val="80"/>
          <w:jc w:val="center"/>
        </w:trPr>
        <w:tc>
          <w:tcPr>
            <w:tcW w:w="32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8B70" w14:textId="77777777" w:rsidR="00D74183" w:rsidRPr="00260D80" w:rsidRDefault="00D74183" w:rsidP="00FA37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0D80">
              <w:rPr>
                <w:rFonts w:ascii="Times New Roman" w:eastAsia="Times New Roman" w:hAnsi="Times New Roman" w:cs="Times New Roman"/>
                <w:sz w:val="22"/>
                <w:szCs w:val="22"/>
              </w:rPr>
              <w:t>Sector (% of total net FDI flows)</w:t>
            </w:r>
          </w:p>
        </w:tc>
        <w:tc>
          <w:tcPr>
            <w:tcW w:w="88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32FB" w14:textId="77777777" w:rsidR="00D74183" w:rsidRPr="00260D80" w:rsidRDefault="00D74183" w:rsidP="00FA3719">
            <w:pPr>
              <w:jc w:val="right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60D80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2007</w:t>
            </w:r>
          </w:p>
        </w:tc>
        <w:tc>
          <w:tcPr>
            <w:tcW w:w="88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CB95" w14:textId="77777777" w:rsidR="00D74183" w:rsidRPr="00260D80" w:rsidRDefault="00D74183" w:rsidP="00FA3719">
            <w:pPr>
              <w:jc w:val="right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60D80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2011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DEEB78" w14:textId="77777777" w:rsidR="00D74183" w:rsidRPr="00260D80" w:rsidRDefault="00D74183" w:rsidP="00FA3719">
            <w:pPr>
              <w:jc w:val="right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60D80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2014</w:t>
            </w:r>
          </w:p>
        </w:tc>
        <w:tc>
          <w:tcPr>
            <w:tcW w:w="1070" w:type="dxa"/>
            <w:tcBorders>
              <w:top w:val="double" w:sz="4" w:space="0" w:color="auto"/>
              <w:bottom w:val="single" w:sz="4" w:space="0" w:color="auto"/>
            </w:tcBorders>
          </w:tcPr>
          <w:p w14:paraId="63FC3A5A" w14:textId="77777777" w:rsidR="00D74183" w:rsidRPr="00260D80" w:rsidRDefault="00D74183" w:rsidP="00FA3719">
            <w:pPr>
              <w:jc w:val="right"/>
              <w:rPr>
                <w:rFonts w:ascii="Times New Roman" w:eastAsia="Times New Roman" w:hAnsi="Times New Roman" w:cs="Times New Roman"/>
                <w:bCs/>
                <w:sz w:val="22"/>
                <w:szCs w:val="22"/>
                <w:vertAlign w:val="superscript"/>
              </w:rPr>
            </w:pPr>
            <w:r w:rsidRPr="00260D80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Average</w:t>
            </w:r>
          </w:p>
        </w:tc>
      </w:tr>
      <w:tr w:rsidR="00D74183" w:rsidRPr="00260D80" w14:paraId="0A27F850" w14:textId="77777777" w:rsidTr="00FA3719">
        <w:trPr>
          <w:trHeight w:val="82"/>
          <w:jc w:val="center"/>
        </w:trPr>
        <w:tc>
          <w:tcPr>
            <w:tcW w:w="3296" w:type="dxa"/>
            <w:shd w:val="clear" w:color="auto" w:fill="auto"/>
            <w:vAlign w:val="center"/>
            <w:hideMark/>
          </w:tcPr>
          <w:p w14:paraId="5B1B5863" w14:textId="77777777" w:rsidR="00D74183" w:rsidRPr="00260D80" w:rsidRDefault="00D74183" w:rsidP="00FA37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0D80">
              <w:rPr>
                <w:rFonts w:ascii="Times New Roman" w:eastAsia="Times New Roman" w:hAnsi="Times New Roman" w:cs="Times New Roman"/>
                <w:sz w:val="22"/>
                <w:szCs w:val="22"/>
              </w:rPr>
              <w:t>Agriculture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431AB9C9" w14:textId="77777777" w:rsidR="00D74183" w:rsidRPr="00260D80" w:rsidRDefault="00D74183" w:rsidP="00FA371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906FD">
              <w:rPr>
                <w:rFonts w:ascii="Times New Roman" w:eastAsia="Times New Roman" w:hAnsi="Times New Roman" w:cs="Times New Roman"/>
                <w:sz w:val="22"/>
                <w:szCs w:val="22"/>
              </w:rPr>
              <w:t>1.79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73563C77" w14:textId="77777777" w:rsidR="00D74183" w:rsidRPr="00260D80" w:rsidRDefault="00D74183" w:rsidP="00FA371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0D80">
              <w:rPr>
                <w:rFonts w:ascii="Times New Roman" w:eastAsia="Times New Roman" w:hAnsi="Times New Roman" w:cs="Times New Roman"/>
                <w:sz w:val="22"/>
                <w:szCs w:val="22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E5AA960" w14:textId="77777777" w:rsidR="00D74183" w:rsidRPr="00260D80" w:rsidRDefault="00D74183" w:rsidP="00FA371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0D80">
              <w:rPr>
                <w:rFonts w:ascii="Times New Roman" w:eastAsia="Times New Roman" w:hAnsi="Times New Roman" w:cs="Times New Roman"/>
                <w:sz w:val="22"/>
                <w:szCs w:val="22"/>
              </w:rPr>
              <w:t>0.11</w:t>
            </w:r>
          </w:p>
        </w:tc>
        <w:tc>
          <w:tcPr>
            <w:tcW w:w="1070" w:type="dxa"/>
          </w:tcPr>
          <w:p w14:paraId="0720A35E" w14:textId="77777777" w:rsidR="00D74183" w:rsidRPr="00260D80" w:rsidRDefault="00D74183" w:rsidP="00FA371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0D80">
              <w:rPr>
                <w:rFonts w:ascii="Times New Roman" w:eastAsia="Times New Roman" w:hAnsi="Times New Roman" w:cs="Times New Roman"/>
                <w:sz w:val="22"/>
                <w:szCs w:val="22"/>
              </w:rPr>
              <w:t>1.16</w:t>
            </w:r>
          </w:p>
        </w:tc>
      </w:tr>
      <w:tr w:rsidR="00D74183" w:rsidRPr="00260D80" w14:paraId="1F5DC6BA" w14:textId="77777777" w:rsidTr="00FA3719">
        <w:trPr>
          <w:trHeight w:val="101"/>
          <w:jc w:val="center"/>
        </w:trPr>
        <w:tc>
          <w:tcPr>
            <w:tcW w:w="3296" w:type="dxa"/>
            <w:shd w:val="clear" w:color="auto" w:fill="auto"/>
            <w:vAlign w:val="center"/>
            <w:hideMark/>
          </w:tcPr>
          <w:p w14:paraId="3A6DBA27" w14:textId="77777777" w:rsidR="00D74183" w:rsidRPr="00260D80" w:rsidRDefault="00D74183" w:rsidP="00FA37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0D8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Industry  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1E8B40A3" w14:textId="77777777" w:rsidR="00D74183" w:rsidRPr="00260D80" w:rsidRDefault="00D74183" w:rsidP="00FA371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906FD">
              <w:rPr>
                <w:rFonts w:ascii="Times New Roman" w:eastAsia="Times New Roman" w:hAnsi="Times New Roman" w:cs="Times New Roman"/>
                <w:sz w:val="22"/>
                <w:szCs w:val="22"/>
              </w:rPr>
              <w:t>26.95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5F3B7837" w14:textId="77777777" w:rsidR="00D74183" w:rsidRPr="00260D80" w:rsidRDefault="00D74183" w:rsidP="00FA371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0D80">
              <w:rPr>
                <w:rFonts w:ascii="Times New Roman" w:eastAsia="Times New Roman" w:hAnsi="Times New Roman" w:cs="Times New Roman"/>
                <w:sz w:val="22"/>
                <w:szCs w:val="22"/>
              </w:rPr>
              <w:t>10.89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77FCF5E" w14:textId="77777777" w:rsidR="00D74183" w:rsidRPr="00260D80" w:rsidRDefault="00D74183" w:rsidP="00FA371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0D80">
              <w:rPr>
                <w:rFonts w:ascii="Times New Roman" w:eastAsia="Times New Roman" w:hAnsi="Times New Roman" w:cs="Times New Roman"/>
                <w:sz w:val="22"/>
                <w:szCs w:val="22"/>
              </w:rPr>
              <w:t>-10.85</w:t>
            </w:r>
          </w:p>
        </w:tc>
        <w:tc>
          <w:tcPr>
            <w:tcW w:w="1070" w:type="dxa"/>
          </w:tcPr>
          <w:p w14:paraId="4D430684" w14:textId="77777777" w:rsidR="00D74183" w:rsidRPr="00260D80" w:rsidRDefault="00D74183" w:rsidP="00FA371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0D80">
              <w:rPr>
                <w:rFonts w:ascii="Times New Roman" w:eastAsia="Times New Roman" w:hAnsi="Times New Roman" w:cs="Times New Roman"/>
                <w:sz w:val="22"/>
                <w:szCs w:val="22"/>
              </w:rPr>
              <w:t>15.78</w:t>
            </w:r>
          </w:p>
        </w:tc>
      </w:tr>
      <w:tr w:rsidR="00D74183" w:rsidRPr="00260D80" w14:paraId="007F3020" w14:textId="77777777" w:rsidTr="00FA3719">
        <w:trPr>
          <w:trHeight w:val="73"/>
          <w:jc w:val="center"/>
        </w:trPr>
        <w:tc>
          <w:tcPr>
            <w:tcW w:w="3296" w:type="dxa"/>
            <w:shd w:val="clear" w:color="auto" w:fill="auto"/>
            <w:vAlign w:val="center"/>
            <w:hideMark/>
          </w:tcPr>
          <w:p w14:paraId="6B9DA010" w14:textId="77777777" w:rsidR="00D74183" w:rsidRPr="00260D80" w:rsidRDefault="00D74183" w:rsidP="00FA37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0D8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Construction 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1912857E" w14:textId="77777777" w:rsidR="00D74183" w:rsidRPr="00260D80" w:rsidRDefault="00D74183" w:rsidP="00FA371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906FD">
              <w:rPr>
                <w:rFonts w:ascii="Times New Roman" w:eastAsia="Times New Roman" w:hAnsi="Times New Roman" w:cs="Times New Roman"/>
                <w:sz w:val="22"/>
                <w:szCs w:val="22"/>
              </w:rPr>
              <w:t>1.17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14:paraId="7697FA07" w14:textId="77777777" w:rsidR="00D74183" w:rsidRPr="00260D80" w:rsidRDefault="00D74183" w:rsidP="00FA371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0D80">
              <w:rPr>
                <w:rFonts w:ascii="Times New Roman" w:eastAsia="Times New Roman" w:hAnsi="Times New Roman" w:cs="Times New Roman"/>
                <w:sz w:val="22"/>
                <w:szCs w:val="22"/>
              </w:rPr>
              <w:t>34.63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F5FD4C8" w14:textId="77777777" w:rsidR="00D74183" w:rsidRPr="00260D80" w:rsidRDefault="00D74183" w:rsidP="00FA371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0D80">
              <w:rPr>
                <w:rFonts w:ascii="Times New Roman" w:eastAsia="Times New Roman" w:hAnsi="Times New Roman" w:cs="Times New Roman"/>
                <w:sz w:val="22"/>
                <w:szCs w:val="22"/>
              </w:rPr>
              <w:t>-13.13</w:t>
            </w:r>
          </w:p>
        </w:tc>
        <w:tc>
          <w:tcPr>
            <w:tcW w:w="1070" w:type="dxa"/>
          </w:tcPr>
          <w:p w14:paraId="5A72C868" w14:textId="77777777" w:rsidR="00D74183" w:rsidRPr="00260D80" w:rsidRDefault="00D74183" w:rsidP="00FA371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0D80">
              <w:rPr>
                <w:rFonts w:ascii="Times New Roman" w:eastAsia="Times New Roman" w:hAnsi="Times New Roman" w:cs="Times New Roman"/>
                <w:sz w:val="22"/>
                <w:szCs w:val="22"/>
              </w:rPr>
              <w:t>9.1</w:t>
            </w:r>
          </w:p>
        </w:tc>
      </w:tr>
      <w:tr w:rsidR="00D74183" w:rsidRPr="00260D80" w14:paraId="66CAA078" w14:textId="77777777" w:rsidTr="00FA3719">
        <w:trPr>
          <w:trHeight w:val="73"/>
          <w:jc w:val="center"/>
        </w:trPr>
        <w:tc>
          <w:tcPr>
            <w:tcW w:w="3296" w:type="dxa"/>
            <w:shd w:val="clear" w:color="auto" w:fill="auto"/>
            <w:vAlign w:val="center"/>
          </w:tcPr>
          <w:p w14:paraId="2A65F625" w14:textId="77777777" w:rsidR="00D74183" w:rsidRPr="00260D80" w:rsidRDefault="00D74183" w:rsidP="00FA37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0D80">
              <w:rPr>
                <w:rFonts w:ascii="Times New Roman" w:eastAsia="Times New Roman" w:hAnsi="Times New Roman" w:cs="Times New Roman"/>
                <w:sz w:val="22"/>
                <w:szCs w:val="22"/>
              </w:rPr>
              <w:t>Services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24A0BDF7" w14:textId="77777777" w:rsidR="00D74183" w:rsidRPr="00260D80" w:rsidRDefault="00D74183" w:rsidP="00FA371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906FD">
              <w:rPr>
                <w:rFonts w:ascii="Times New Roman" w:eastAsia="Times New Roman" w:hAnsi="Times New Roman" w:cs="Times New Roman"/>
                <w:sz w:val="22"/>
                <w:szCs w:val="22"/>
              </w:rPr>
              <w:t>66.23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45A46783" w14:textId="77777777" w:rsidR="00D74183" w:rsidRPr="00260D80" w:rsidRDefault="00D74183" w:rsidP="00FA371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0D80">
              <w:rPr>
                <w:rFonts w:ascii="Times New Roman" w:eastAsia="Times New Roman" w:hAnsi="Times New Roman" w:cs="Times New Roman"/>
                <w:sz w:val="22"/>
                <w:szCs w:val="22"/>
              </w:rPr>
              <w:t>37.89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23E651" w14:textId="77777777" w:rsidR="00D74183" w:rsidRPr="00260D80" w:rsidRDefault="00D74183" w:rsidP="00FA371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0D80">
              <w:rPr>
                <w:rFonts w:ascii="Times New Roman" w:eastAsia="Times New Roman" w:hAnsi="Times New Roman" w:cs="Times New Roman"/>
                <w:sz w:val="22"/>
                <w:szCs w:val="22"/>
              </w:rPr>
              <w:t>122.95</w:t>
            </w:r>
          </w:p>
        </w:tc>
        <w:tc>
          <w:tcPr>
            <w:tcW w:w="1070" w:type="dxa"/>
          </w:tcPr>
          <w:p w14:paraId="2F478BCA" w14:textId="77777777" w:rsidR="00D74183" w:rsidRPr="00260D80" w:rsidRDefault="00D74183" w:rsidP="00FA371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0D80">
              <w:rPr>
                <w:rFonts w:ascii="Times New Roman" w:eastAsia="Times New Roman" w:hAnsi="Times New Roman" w:cs="Times New Roman"/>
                <w:sz w:val="22"/>
                <w:szCs w:val="22"/>
              </w:rPr>
              <w:t>66.2</w:t>
            </w:r>
          </w:p>
        </w:tc>
      </w:tr>
      <w:tr w:rsidR="00D74183" w:rsidRPr="00260D80" w14:paraId="62365072" w14:textId="77777777" w:rsidTr="00FA3719">
        <w:trPr>
          <w:trHeight w:val="73"/>
          <w:jc w:val="center"/>
        </w:trPr>
        <w:tc>
          <w:tcPr>
            <w:tcW w:w="32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7AFE81" w14:textId="77777777" w:rsidR="00D74183" w:rsidRPr="00260D80" w:rsidRDefault="00D74183" w:rsidP="00FA371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0D80">
              <w:rPr>
                <w:rFonts w:ascii="Times New Roman" w:eastAsia="Times New Roman" w:hAnsi="Times New Roman" w:cs="Times New Roman"/>
                <w:sz w:val="22"/>
                <w:szCs w:val="22"/>
              </w:rPr>
              <w:t>Other</w:t>
            </w:r>
          </w:p>
        </w:tc>
        <w:tc>
          <w:tcPr>
            <w:tcW w:w="883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37824559" w14:textId="77777777" w:rsidR="00D74183" w:rsidRPr="00260D80" w:rsidRDefault="00D74183" w:rsidP="00FA371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906FD">
              <w:rPr>
                <w:rFonts w:ascii="Times New Roman" w:eastAsia="Times New Roman" w:hAnsi="Times New Roman" w:cs="Times New Roman"/>
                <w:sz w:val="22"/>
                <w:szCs w:val="22"/>
              </w:rPr>
              <w:t>3.83</w:t>
            </w:r>
          </w:p>
        </w:tc>
        <w:tc>
          <w:tcPr>
            <w:tcW w:w="883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1BAB40CD" w14:textId="77777777" w:rsidR="00D74183" w:rsidRPr="00260D80" w:rsidRDefault="00D74183" w:rsidP="00FA371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0D80">
              <w:rPr>
                <w:rFonts w:ascii="Times New Roman" w:eastAsia="Times New Roman" w:hAnsi="Times New Roman" w:cs="Times New Roman"/>
                <w:sz w:val="22"/>
                <w:szCs w:val="22"/>
              </w:rPr>
              <w:t>16.43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3E1A74E" w14:textId="77777777" w:rsidR="00D74183" w:rsidRPr="00260D80" w:rsidRDefault="00D74183" w:rsidP="00FA371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0D80">
              <w:rPr>
                <w:rFonts w:ascii="Times New Roman" w:eastAsia="Times New Roman" w:hAnsi="Times New Roman" w:cs="Times New Roman"/>
                <w:sz w:val="22"/>
                <w:szCs w:val="22"/>
              </w:rPr>
              <w:t>0.91</w:t>
            </w:r>
          </w:p>
        </w:tc>
        <w:tc>
          <w:tcPr>
            <w:tcW w:w="1070" w:type="dxa"/>
            <w:tcBorders>
              <w:bottom w:val="double" w:sz="4" w:space="0" w:color="auto"/>
            </w:tcBorders>
          </w:tcPr>
          <w:p w14:paraId="52DC22F7" w14:textId="77777777" w:rsidR="00D74183" w:rsidRPr="00260D80" w:rsidRDefault="00D74183" w:rsidP="00FA3719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0D80">
              <w:rPr>
                <w:rFonts w:ascii="Times New Roman" w:eastAsia="Times New Roman" w:hAnsi="Times New Roman" w:cs="Times New Roman"/>
                <w:sz w:val="22"/>
                <w:szCs w:val="22"/>
              </w:rPr>
              <w:t>7.75</w:t>
            </w:r>
          </w:p>
        </w:tc>
      </w:tr>
    </w:tbl>
    <w:p w14:paraId="718B31C5" w14:textId="77777777" w:rsidR="00D74183" w:rsidRPr="00260D80" w:rsidRDefault="00D74183" w:rsidP="00466EA1">
      <w:pPr>
        <w:jc w:val="both"/>
        <w:rPr>
          <w:rFonts w:ascii="Times New Roman" w:hAnsi="Times New Roman" w:cs="Times New Roman"/>
          <w:spacing w:val="-8"/>
          <w:sz w:val="20"/>
          <w:szCs w:val="20"/>
        </w:rPr>
      </w:pPr>
      <w:r w:rsidRPr="00260D80">
        <w:rPr>
          <w:rFonts w:ascii="Times New Roman" w:hAnsi="Times New Roman" w:cs="Times New Roman"/>
          <w:i/>
          <w:spacing w:val="-8"/>
          <w:sz w:val="20"/>
          <w:szCs w:val="20"/>
        </w:rPr>
        <w:t>Source</w:t>
      </w:r>
      <w:r w:rsidRPr="00E906FD">
        <w:rPr>
          <w:rFonts w:ascii="Times New Roman" w:hAnsi="Times New Roman" w:cs="Times New Roman"/>
          <w:spacing w:val="-8"/>
          <w:sz w:val="20"/>
          <w:szCs w:val="20"/>
        </w:rPr>
        <w:t xml:space="preserve">: Central Bank of Kosovo </w:t>
      </w:r>
      <w:r w:rsidRPr="00260D80">
        <w:rPr>
          <w:rFonts w:ascii="Times New Roman" w:hAnsi="Times New Roman" w:cs="Times New Roman"/>
          <w:i/>
          <w:spacing w:val="-8"/>
          <w:sz w:val="20"/>
          <w:szCs w:val="20"/>
        </w:rPr>
        <w:t xml:space="preserve">Times Series </w:t>
      </w:r>
      <w:r w:rsidRPr="00260D80">
        <w:rPr>
          <w:rFonts w:ascii="Times New Roman" w:hAnsi="Times New Roman" w:cs="Times New Roman"/>
          <w:spacing w:val="-8"/>
          <w:sz w:val="20"/>
          <w:szCs w:val="20"/>
        </w:rPr>
        <w:t xml:space="preserve">(various years) </w:t>
      </w:r>
    </w:p>
    <w:p w14:paraId="73676CD4" w14:textId="04013FE4" w:rsidR="00665122" w:rsidRPr="00260D80" w:rsidRDefault="00D74183" w:rsidP="00466EA1">
      <w:pPr>
        <w:jc w:val="both"/>
        <w:rPr>
          <w:rFonts w:ascii="Times New Roman" w:hAnsi="Times New Roman" w:cs="Times New Roman"/>
          <w:spacing w:val="-8"/>
          <w:sz w:val="20"/>
          <w:szCs w:val="20"/>
        </w:rPr>
      </w:pPr>
      <w:r w:rsidRPr="00260D80">
        <w:rPr>
          <w:rFonts w:ascii="Times New Roman" w:hAnsi="Times New Roman" w:cs="Times New Roman"/>
          <w:i/>
          <w:spacing w:val="-8"/>
          <w:sz w:val="20"/>
          <w:szCs w:val="20"/>
        </w:rPr>
        <w:t xml:space="preserve">Notes: </w:t>
      </w:r>
      <w:r w:rsidRPr="00260D80">
        <w:rPr>
          <w:rFonts w:ascii="Times New Roman" w:hAnsi="Times New Roman" w:cs="Times New Roman"/>
          <w:spacing w:val="-8"/>
          <w:sz w:val="20"/>
          <w:szCs w:val="20"/>
        </w:rPr>
        <w:t>averages over the whole time period</w:t>
      </w:r>
    </w:p>
    <w:p w14:paraId="10A0C031" w14:textId="77777777" w:rsidR="00FA3719" w:rsidRPr="00152A5B" w:rsidRDefault="00FA3719" w:rsidP="00466EA1">
      <w:pPr>
        <w:rPr>
          <w:rFonts w:ascii="Times New Roman" w:eastAsia="MS Mincho" w:hAnsi="Times New Roman" w:cs="Times New Roman"/>
          <w:spacing w:val="-2"/>
          <w:sz w:val="20"/>
          <w:szCs w:val="20"/>
          <w:lang w:val="en-US"/>
        </w:rPr>
      </w:pPr>
    </w:p>
    <w:p w14:paraId="1418A2E2" w14:textId="77777777" w:rsidR="00AD78B7" w:rsidRPr="00466EA1" w:rsidRDefault="00AD78B7" w:rsidP="00466EA1">
      <w:pPr>
        <w:ind w:firstLine="288"/>
        <w:jc w:val="both"/>
        <w:rPr>
          <w:rFonts w:ascii="Times New Roman" w:hAnsi="Times New Roman" w:cs="Times New Roman"/>
        </w:rPr>
      </w:pPr>
    </w:p>
    <w:p w14:paraId="102D7F5D" w14:textId="77777777" w:rsidR="00AD78B7" w:rsidRPr="00466EA1" w:rsidRDefault="00AD78B7" w:rsidP="00466EA1">
      <w:pPr>
        <w:ind w:firstLine="288"/>
        <w:jc w:val="both"/>
        <w:rPr>
          <w:rFonts w:ascii="Times New Roman" w:hAnsi="Times New Roman" w:cs="Times New Roman"/>
        </w:rPr>
      </w:pPr>
    </w:p>
    <w:p w14:paraId="3C7BBC4C" w14:textId="77777777" w:rsidR="005041BF" w:rsidRPr="00466EA1" w:rsidRDefault="005041BF" w:rsidP="00466EA1">
      <w:pPr>
        <w:ind w:firstLine="288"/>
        <w:jc w:val="both"/>
        <w:rPr>
          <w:rFonts w:ascii="Times New Roman" w:hAnsi="Times New Roman" w:cs="Times New Roman"/>
        </w:rPr>
      </w:pPr>
      <w:r w:rsidRPr="00466EA1">
        <w:rPr>
          <w:rFonts w:ascii="Times New Roman" w:hAnsi="Times New Roman" w:cs="Times New Roman"/>
        </w:rPr>
        <w:t xml:space="preserve">  </w:t>
      </w:r>
    </w:p>
    <w:sectPr w:rsidR="005041BF" w:rsidRPr="00466EA1" w:rsidSect="004E287B">
      <w:footerReference w:type="even" r:id="rId10"/>
      <w:footerReference w:type="default" r:id="rId11"/>
      <w:pgSz w:w="12240" w:h="15840"/>
      <w:pgMar w:top="1699" w:right="2549" w:bottom="1699" w:left="254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6FA280" w14:textId="77777777" w:rsidR="00936066" w:rsidRDefault="00936066" w:rsidP="009B15E4">
      <w:pPr>
        <w:rPr>
          <w:rFonts w:hint="eastAsia"/>
        </w:rPr>
      </w:pPr>
      <w:r>
        <w:separator/>
      </w:r>
    </w:p>
  </w:endnote>
  <w:endnote w:type="continuationSeparator" w:id="0">
    <w:p w14:paraId="7010B919" w14:textId="77777777" w:rsidR="00936066" w:rsidRDefault="00936066" w:rsidP="009B15E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altName w:val="Arial"/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02A70" w14:textId="77777777" w:rsidR="00936066" w:rsidRDefault="00936066" w:rsidP="00996FAF">
    <w:pPr>
      <w:pStyle w:val="Footer"/>
      <w:framePr w:wrap="around" w:vAnchor="text" w:hAnchor="margin" w:xAlign="right" w:y="1"/>
      <w:rPr>
        <w:rStyle w:val="PageNumber"/>
        <w:rFonts w:hint="eastAsia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4F3AD0" w14:textId="77777777" w:rsidR="00936066" w:rsidRDefault="00936066" w:rsidP="009B15E4">
    <w:pPr>
      <w:pStyle w:val="Footer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407FA" w14:textId="77777777" w:rsidR="00936066" w:rsidRDefault="00936066" w:rsidP="009B15E4">
    <w:pPr>
      <w:pStyle w:val="Footer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F74EA6" w14:textId="77777777" w:rsidR="00936066" w:rsidRDefault="00936066" w:rsidP="009B15E4">
      <w:pPr>
        <w:rPr>
          <w:rFonts w:hint="eastAsia"/>
        </w:rPr>
      </w:pPr>
      <w:r>
        <w:separator/>
      </w:r>
    </w:p>
  </w:footnote>
  <w:footnote w:type="continuationSeparator" w:id="0">
    <w:p w14:paraId="6A0B4E46" w14:textId="77777777" w:rsidR="00936066" w:rsidRDefault="00936066" w:rsidP="009B15E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82350"/>
    <w:multiLevelType w:val="hybridMultilevel"/>
    <w:tmpl w:val="E13200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nomik2">
    <w15:presenceInfo w15:providerId="None" w15:userId="Ekonomik2"/>
  </w15:person>
  <w15:person w15:author="PG">
    <w15:presenceInfo w15:providerId="None" w15:userId="P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1BF"/>
    <w:rsid w:val="00016AFC"/>
    <w:rsid w:val="000324F8"/>
    <w:rsid w:val="000573E6"/>
    <w:rsid w:val="00081F92"/>
    <w:rsid w:val="000957F9"/>
    <w:rsid w:val="000C7B95"/>
    <w:rsid w:val="000E068A"/>
    <w:rsid w:val="00140DF8"/>
    <w:rsid w:val="00152A5B"/>
    <w:rsid w:val="00175BA3"/>
    <w:rsid w:val="00190F00"/>
    <w:rsid w:val="00191097"/>
    <w:rsid w:val="001926A9"/>
    <w:rsid w:val="001962F0"/>
    <w:rsid w:val="001C3D7E"/>
    <w:rsid w:val="001E33A0"/>
    <w:rsid w:val="001F19D5"/>
    <w:rsid w:val="00203D0C"/>
    <w:rsid w:val="00204B3F"/>
    <w:rsid w:val="002205F8"/>
    <w:rsid w:val="002225A9"/>
    <w:rsid w:val="00227D3C"/>
    <w:rsid w:val="0023134C"/>
    <w:rsid w:val="002439A0"/>
    <w:rsid w:val="00247440"/>
    <w:rsid w:val="00260D80"/>
    <w:rsid w:val="00262FBD"/>
    <w:rsid w:val="002746C5"/>
    <w:rsid w:val="00280D5A"/>
    <w:rsid w:val="002828A7"/>
    <w:rsid w:val="00292DCB"/>
    <w:rsid w:val="00297A4B"/>
    <w:rsid w:val="002D1570"/>
    <w:rsid w:val="002E1AD1"/>
    <w:rsid w:val="002F46AC"/>
    <w:rsid w:val="00326794"/>
    <w:rsid w:val="003275CE"/>
    <w:rsid w:val="00333730"/>
    <w:rsid w:val="003401D7"/>
    <w:rsid w:val="00346EC4"/>
    <w:rsid w:val="0035300B"/>
    <w:rsid w:val="00357B4F"/>
    <w:rsid w:val="0036035E"/>
    <w:rsid w:val="00363ECB"/>
    <w:rsid w:val="00373441"/>
    <w:rsid w:val="0037407B"/>
    <w:rsid w:val="003865E8"/>
    <w:rsid w:val="003D2668"/>
    <w:rsid w:val="003F3DB9"/>
    <w:rsid w:val="00420E0C"/>
    <w:rsid w:val="00421621"/>
    <w:rsid w:val="0042301C"/>
    <w:rsid w:val="00427FA4"/>
    <w:rsid w:val="0043700E"/>
    <w:rsid w:val="00437346"/>
    <w:rsid w:val="00453CB0"/>
    <w:rsid w:val="004565E4"/>
    <w:rsid w:val="00460200"/>
    <w:rsid w:val="00466EA1"/>
    <w:rsid w:val="00474CD3"/>
    <w:rsid w:val="00476AAE"/>
    <w:rsid w:val="0048237C"/>
    <w:rsid w:val="004A4AE1"/>
    <w:rsid w:val="004A527F"/>
    <w:rsid w:val="004C0616"/>
    <w:rsid w:val="004C2AE9"/>
    <w:rsid w:val="004E1DC4"/>
    <w:rsid w:val="004E287B"/>
    <w:rsid w:val="005041BF"/>
    <w:rsid w:val="00505F16"/>
    <w:rsid w:val="00514F8F"/>
    <w:rsid w:val="005272A1"/>
    <w:rsid w:val="00547FAB"/>
    <w:rsid w:val="00557492"/>
    <w:rsid w:val="00586349"/>
    <w:rsid w:val="005A0BC8"/>
    <w:rsid w:val="005B0972"/>
    <w:rsid w:val="005B24F6"/>
    <w:rsid w:val="005F601A"/>
    <w:rsid w:val="005F648F"/>
    <w:rsid w:val="00611591"/>
    <w:rsid w:val="0061429A"/>
    <w:rsid w:val="00620F98"/>
    <w:rsid w:val="0062171F"/>
    <w:rsid w:val="0063682B"/>
    <w:rsid w:val="00646E65"/>
    <w:rsid w:val="00660DDD"/>
    <w:rsid w:val="00665122"/>
    <w:rsid w:val="006817CD"/>
    <w:rsid w:val="00684EEC"/>
    <w:rsid w:val="00685532"/>
    <w:rsid w:val="006906CD"/>
    <w:rsid w:val="006948C6"/>
    <w:rsid w:val="00695B5C"/>
    <w:rsid w:val="006A674E"/>
    <w:rsid w:val="006A7B2E"/>
    <w:rsid w:val="006C2B24"/>
    <w:rsid w:val="006C3AE0"/>
    <w:rsid w:val="006C577C"/>
    <w:rsid w:val="006C70F4"/>
    <w:rsid w:val="006D2D79"/>
    <w:rsid w:val="006D392B"/>
    <w:rsid w:val="006D7FE2"/>
    <w:rsid w:val="006E6870"/>
    <w:rsid w:val="006F2363"/>
    <w:rsid w:val="00711D40"/>
    <w:rsid w:val="007203C0"/>
    <w:rsid w:val="00734D5C"/>
    <w:rsid w:val="0074008A"/>
    <w:rsid w:val="00746017"/>
    <w:rsid w:val="00760508"/>
    <w:rsid w:val="007767DB"/>
    <w:rsid w:val="00786009"/>
    <w:rsid w:val="007A60A4"/>
    <w:rsid w:val="007C3B57"/>
    <w:rsid w:val="007C4240"/>
    <w:rsid w:val="00856DC1"/>
    <w:rsid w:val="00863879"/>
    <w:rsid w:val="0087769C"/>
    <w:rsid w:val="00880C5C"/>
    <w:rsid w:val="00891B26"/>
    <w:rsid w:val="008A37F6"/>
    <w:rsid w:val="008A51FB"/>
    <w:rsid w:val="008B2C79"/>
    <w:rsid w:val="008B7AAD"/>
    <w:rsid w:val="008C2DF8"/>
    <w:rsid w:val="008D4D32"/>
    <w:rsid w:val="008E2D63"/>
    <w:rsid w:val="008E6121"/>
    <w:rsid w:val="00910D67"/>
    <w:rsid w:val="00926A94"/>
    <w:rsid w:val="009308AC"/>
    <w:rsid w:val="00936066"/>
    <w:rsid w:val="00960E42"/>
    <w:rsid w:val="0096260E"/>
    <w:rsid w:val="00986662"/>
    <w:rsid w:val="00987CE6"/>
    <w:rsid w:val="00996FAF"/>
    <w:rsid w:val="009B15E4"/>
    <w:rsid w:val="009C4479"/>
    <w:rsid w:val="009D0389"/>
    <w:rsid w:val="009D152D"/>
    <w:rsid w:val="009D311D"/>
    <w:rsid w:val="009D7674"/>
    <w:rsid w:val="009F7D25"/>
    <w:rsid w:val="00A11E8A"/>
    <w:rsid w:val="00A24863"/>
    <w:rsid w:val="00A26E92"/>
    <w:rsid w:val="00A34F83"/>
    <w:rsid w:val="00A44A14"/>
    <w:rsid w:val="00A51AEB"/>
    <w:rsid w:val="00A65F13"/>
    <w:rsid w:val="00A74BCF"/>
    <w:rsid w:val="00A75770"/>
    <w:rsid w:val="00AA0474"/>
    <w:rsid w:val="00AD78B7"/>
    <w:rsid w:val="00AE059A"/>
    <w:rsid w:val="00B324FC"/>
    <w:rsid w:val="00B33594"/>
    <w:rsid w:val="00B833D6"/>
    <w:rsid w:val="00B92410"/>
    <w:rsid w:val="00BA3FD2"/>
    <w:rsid w:val="00BA5737"/>
    <w:rsid w:val="00BB18C5"/>
    <w:rsid w:val="00BC117C"/>
    <w:rsid w:val="00BF1173"/>
    <w:rsid w:val="00BF1E60"/>
    <w:rsid w:val="00BF23BC"/>
    <w:rsid w:val="00BF7613"/>
    <w:rsid w:val="00C327A5"/>
    <w:rsid w:val="00C45FEC"/>
    <w:rsid w:val="00C55BA5"/>
    <w:rsid w:val="00C62C49"/>
    <w:rsid w:val="00C67F05"/>
    <w:rsid w:val="00C67FB6"/>
    <w:rsid w:val="00C905F0"/>
    <w:rsid w:val="00CC0D90"/>
    <w:rsid w:val="00CC61DC"/>
    <w:rsid w:val="00CD3DC2"/>
    <w:rsid w:val="00CD72E2"/>
    <w:rsid w:val="00CE7CDA"/>
    <w:rsid w:val="00CE7D3F"/>
    <w:rsid w:val="00D24E7F"/>
    <w:rsid w:val="00D66388"/>
    <w:rsid w:val="00D67CFF"/>
    <w:rsid w:val="00D74183"/>
    <w:rsid w:val="00D873CF"/>
    <w:rsid w:val="00D96530"/>
    <w:rsid w:val="00DB5A12"/>
    <w:rsid w:val="00DC05D2"/>
    <w:rsid w:val="00DD02A6"/>
    <w:rsid w:val="00DF32B1"/>
    <w:rsid w:val="00DF5C88"/>
    <w:rsid w:val="00E01196"/>
    <w:rsid w:val="00E338B3"/>
    <w:rsid w:val="00E339C5"/>
    <w:rsid w:val="00E51BD7"/>
    <w:rsid w:val="00E5611B"/>
    <w:rsid w:val="00E70D79"/>
    <w:rsid w:val="00E76C4D"/>
    <w:rsid w:val="00E806A1"/>
    <w:rsid w:val="00E906FD"/>
    <w:rsid w:val="00E9374E"/>
    <w:rsid w:val="00E95FDB"/>
    <w:rsid w:val="00ED0453"/>
    <w:rsid w:val="00EE584A"/>
    <w:rsid w:val="00EF6F15"/>
    <w:rsid w:val="00F022C6"/>
    <w:rsid w:val="00F05C4C"/>
    <w:rsid w:val="00F20444"/>
    <w:rsid w:val="00F41806"/>
    <w:rsid w:val="00F448CE"/>
    <w:rsid w:val="00F70CA3"/>
    <w:rsid w:val="00F71C9A"/>
    <w:rsid w:val="00F94CAB"/>
    <w:rsid w:val="00FA3719"/>
    <w:rsid w:val="00FA426D"/>
    <w:rsid w:val="00FA4F4C"/>
    <w:rsid w:val="00FB7DBA"/>
    <w:rsid w:val="00FC1D32"/>
    <w:rsid w:val="00FC3AFD"/>
    <w:rsid w:val="00FF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CAAB06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3ECB"/>
    <w:pPr>
      <w:keepNext/>
      <w:keepLines/>
      <w:spacing w:before="6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041B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B15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15E4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9B15E4"/>
  </w:style>
  <w:style w:type="paragraph" w:styleId="Header">
    <w:name w:val="header"/>
    <w:basedOn w:val="Normal"/>
    <w:link w:val="HeaderChar"/>
    <w:uiPriority w:val="99"/>
    <w:unhideWhenUsed/>
    <w:rsid w:val="009B15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5E4"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63E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363ECB"/>
    <w:pPr>
      <w:spacing w:before="100" w:after="200" w:line="276" w:lineRule="auto"/>
      <w:ind w:left="720"/>
      <w:contextualSpacing/>
    </w:pPr>
    <w:rPr>
      <w:sz w:val="20"/>
      <w:szCs w:val="20"/>
    </w:rPr>
  </w:style>
  <w:style w:type="character" w:customStyle="1" w:styleId="apple-converted-space">
    <w:name w:val="apple-converted-space"/>
    <w:basedOn w:val="DefaultParagraphFont"/>
    <w:rsid w:val="00363ECB"/>
  </w:style>
  <w:style w:type="paragraph" w:styleId="FootnoteText">
    <w:name w:val="footnote text"/>
    <w:basedOn w:val="Normal"/>
    <w:link w:val="FootnoteTextChar"/>
    <w:uiPriority w:val="99"/>
    <w:unhideWhenUsed/>
    <w:rsid w:val="00363ECB"/>
    <w:pPr>
      <w:spacing w:before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63ECB"/>
    <w:rPr>
      <w:sz w:val="20"/>
      <w:szCs w:val="20"/>
      <w:lang w:val="en-GB"/>
    </w:rPr>
  </w:style>
  <w:style w:type="character" w:styleId="FootnoteReference">
    <w:name w:val="footnote reference"/>
    <w:aliases w:val="de nota al pie,Ref"/>
    <w:basedOn w:val="DefaultParagraphFont"/>
    <w:uiPriority w:val="99"/>
    <w:unhideWhenUsed/>
    <w:rsid w:val="00363ECB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363ECB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EC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ECB"/>
    <w:rPr>
      <w:rFonts w:ascii="Lucida Grande" w:hAnsi="Lucida Grande" w:cs="Lucida Grande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6C577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3D7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47440"/>
    <w:rPr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3ECB"/>
    <w:pPr>
      <w:keepNext/>
      <w:keepLines/>
      <w:spacing w:before="6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041B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B15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15E4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9B15E4"/>
  </w:style>
  <w:style w:type="paragraph" w:styleId="Header">
    <w:name w:val="header"/>
    <w:basedOn w:val="Normal"/>
    <w:link w:val="HeaderChar"/>
    <w:uiPriority w:val="99"/>
    <w:unhideWhenUsed/>
    <w:rsid w:val="009B15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5E4"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63E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363ECB"/>
    <w:pPr>
      <w:spacing w:before="100" w:after="200" w:line="276" w:lineRule="auto"/>
      <w:ind w:left="720"/>
      <w:contextualSpacing/>
    </w:pPr>
    <w:rPr>
      <w:sz w:val="20"/>
      <w:szCs w:val="20"/>
    </w:rPr>
  </w:style>
  <w:style w:type="character" w:customStyle="1" w:styleId="apple-converted-space">
    <w:name w:val="apple-converted-space"/>
    <w:basedOn w:val="DefaultParagraphFont"/>
    <w:rsid w:val="00363ECB"/>
  </w:style>
  <w:style w:type="paragraph" w:styleId="FootnoteText">
    <w:name w:val="footnote text"/>
    <w:basedOn w:val="Normal"/>
    <w:link w:val="FootnoteTextChar"/>
    <w:uiPriority w:val="99"/>
    <w:unhideWhenUsed/>
    <w:rsid w:val="00363ECB"/>
    <w:pPr>
      <w:spacing w:before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63ECB"/>
    <w:rPr>
      <w:sz w:val="20"/>
      <w:szCs w:val="20"/>
      <w:lang w:val="en-GB"/>
    </w:rPr>
  </w:style>
  <w:style w:type="character" w:styleId="FootnoteReference">
    <w:name w:val="footnote reference"/>
    <w:aliases w:val="de nota al pie,Ref"/>
    <w:basedOn w:val="DefaultParagraphFont"/>
    <w:uiPriority w:val="99"/>
    <w:unhideWhenUsed/>
    <w:rsid w:val="00363ECB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363ECB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EC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ECB"/>
    <w:rPr>
      <w:rFonts w:ascii="Lucida Grande" w:hAnsi="Lucida Grande" w:cs="Lucida Grande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6C577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3D7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4744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5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chart" Target="charts/chart1.xml"/><Relationship Id="rId10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petritgashi:Desktop:5.1.1.Tariff%20policy-comparison%20EU-Turkey.xlsx" TargetMode="External"/><Relationship Id="rId2" Type="http://schemas.microsoft.com/office/2011/relationships/chartStyle" Target="style1.xml"/><Relationship Id="rId3" Type="http://schemas.microsoft.com/office/2011/relationships/chartColorStyle" Target="colors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'EU Turkey comparison'!$A$3</c:f>
              <c:strCache>
                <c:ptCount val="1"/>
                <c:pt idx="0">
                  <c:v>Turkey-FTA</c:v>
                </c:pt>
              </c:strCache>
            </c:strRef>
          </c:tx>
          <c:spPr>
            <a:ln w="22225" cap="rnd" cmpd="sng" algn="ctr">
              <a:solidFill>
                <a:schemeClr val="dk1">
                  <a:tint val="88500"/>
                </a:schemeClr>
              </a:solidFill>
              <a:round/>
            </a:ln>
            <a:effectLst/>
          </c:spPr>
          <c:marker>
            <c:symbol val="none"/>
          </c:marker>
          <c:dPt>
            <c:idx val="4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1550-4FD0-9B2F-C7152187FE99}"/>
              </c:ext>
            </c:extLst>
          </c:dPt>
          <c:dLbls>
            <c:dLbl>
              <c:idx val="0"/>
              <c:layout>
                <c:manualLayout>
                  <c:x val="-0.0443263625349329"/>
                  <c:y val="-0.050594485201113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394-49F1-9401-74AFC4EAB519}"/>
                </c:ext>
              </c:extLst>
            </c:dLbl>
            <c:dLbl>
              <c:idx val="1"/>
              <c:layout>
                <c:manualLayout>
                  <c:x val="-0.0319921041322194"/>
                  <c:y val="-0.06577283076144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550-4FD0-9B2F-C7152187FE99}"/>
                </c:ext>
              </c:extLst>
            </c:dLbl>
            <c:dLbl>
              <c:idx val="2"/>
              <c:layout>
                <c:manualLayout>
                  <c:x val="-0.0504934917362897"/>
                  <c:y val="-0.040475588160890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550-4FD0-9B2F-C7152187FE99}"/>
                </c:ext>
              </c:extLst>
            </c:dLbl>
            <c:dLbl>
              <c:idx val="3"/>
              <c:layout>
                <c:manualLayout>
                  <c:x val="-0.0504934917362897"/>
                  <c:y val="-0.040475588160890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550-4FD0-9B2F-C7152187FE99}"/>
                </c:ext>
              </c:extLst>
            </c:dLbl>
            <c:dLbl>
              <c:idx val="4"/>
              <c:layout>
                <c:manualLayout>
                  <c:x val="-0.0504934917362897"/>
                  <c:y val="-0.055653933721224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550-4FD0-9B2F-C7152187FE99}"/>
                </c:ext>
              </c:extLst>
            </c:dLbl>
            <c:dLbl>
              <c:idx val="5"/>
              <c:layout>
                <c:manualLayout>
                  <c:x val="-0.0504934917362897"/>
                  <c:y val="-0.045535036681001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550-4FD0-9B2F-C7152187FE99}"/>
                </c:ext>
              </c:extLst>
            </c:dLbl>
            <c:dLbl>
              <c:idx val="6"/>
              <c:layout>
                <c:manualLayout>
                  <c:x val="-0.0504934917362898"/>
                  <c:y val="-0.050594485201113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550-4FD0-9B2F-C7152187FE99}"/>
                </c:ext>
              </c:extLst>
            </c:dLbl>
            <c:dLbl>
              <c:idx val="7"/>
              <c:layout>
                <c:manualLayout>
                  <c:x val="-0.044326362534933"/>
                  <c:y val="-0.050594485201113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550-4FD0-9B2F-C7152187FE99}"/>
                </c:ext>
              </c:extLst>
            </c:dLbl>
            <c:dLbl>
              <c:idx val="8"/>
              <c:layout>
                <c:manualLayout>
                  <c:x val="-0.0474099271356114"/>
                  <c:y val="-0.050594485201113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550-4FD0-9B2F-C7152187FE99}"/>
                </c:ext>
              </c:extLst>
            </c:dLbl>
            <c:dLbl>
              <c:idx val="9"/>
              <c:layout>
                <c:manualLayout>
                  <c:x val="-0.0504934917362897"/>
                  <c:y val="-0.035416139640779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550-4FD0-9B2F-C7152187FE99}"/>
                </c:ext>
              </c:extLst>
            </c:dLbl>
            <c:dLbl>
              <c:idx val="10"/>
              <c:layout>
                <c:manualLayout>
                  <c:x val="-0.0397816253541849"/>
                  <c:y val="-0.040475588160890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550-4FD0-9B2F-C7152187FE9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'EU Turkey comparison'!$B$2:$L$2</c:f>
              <c:numCache>
                <c:formatCode>General</c:formatCode>
                <c:ptCount val="11"/>
                <c:pt idx="0">
                  <c:v>2015.0</c:v>
                </c:pt>
                <c:pt idx="1">
                  <c:v>2016.0</c:v>
                </c:pt>
                <c:pt idx="2">
                  <c:v>2017.0</c:v>
                </c:pt>
                <c:pt idx="3">
                  <c:v>2018.0</c:v>
                </c:pt>
                <c:pt idx="4">
                  <c:v>2019.0</c:v>
                </c:pt>
                <c:pt idx="5">
                  <c:v>2020.0</c:v>
                </c:pt>
                <c:pt idx="6">
                  <c:v>2021.0</c:v>
                </c:pt>
                <c:pt idx="7">
                  <c:v>2022.0</c:v>
                </c:pt>
                <c:pt idx="8">
                  <c:v>2023.0</c:v>
                </c:pt>
                <c:pt idx="9">
                  <c:v>2024.0</c:v>
                </c:pt>
                <c:pt idx="10">
                  <c:v>2025.0</c:v>
                </c:pt>
              </c:numCache>
            </c:numRef>
          </c:cat>
          <c:val>
            <c:numRef>
              <c:f>'EU Turkey comparison'!$B$3:$L$3</c:f>
              <c:numCache>
                <c:formatCode>0.00</c:formatCode>
                <c:ptCount val="11"/>
                <c:pt idx="0">
                  <c:v>8.030000000000001</c:v>
                </c:pt>
                <c:pt idx="1">
                  <c:v>6.406639667483747</c:v>
                </c:pt>
                <c:pt idx="2">
                  <c:v>5.78141319407439</c:v>
                </c:pt>
                <c:pt idx="3">
                  <c:v>4.988436534157516</c:v>
                </c:pt>
                <c:pt idx="4">
                  <c:v>4.195459874240647</c:v>
                </c:pt>
                <c:pt idx="5">
                  <c:v>3.402483214323777</c:v>
                </c:pt>
                <c:pt idx="6">
                  <c:v>2.654268357668123</c:v>
                </c:pt>
                <c:pt idx="7">
                  <c:v>2.23601193648087</c:v>
                </c:pt>
                <c:pt idx="8">
                  <c:v>1.814984546520303</c:v>
                </c:pt>
                <c:pt idx="9">
                  <c:v>1.75658105083662</c:v>
                </c:pt>
                <c:pt idx="10">
                  <c:v>1.70094852392625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B-1550-4FD0-9B2F-C7152187FE99}"/>
            </c:ext>
          </c:extLst>
        </c:ser>
        <c:ser>
          <c:idx val="1"/>
          <c:order val="1"/>
          <c:tx>
            <c:strRef>
              <c:f>'EU Turkey comparison'!$A$4</c:f>
              <c:strCache>
                <c:ptCount val="1"/>
                <c:pt idx="0">
                  <c:v>EU-SAA</c:v>
                </c:pt>
              </c:strCache>
            </c:strRef>
          </c:tx>
          <c:spPr>
            <a:ln w="22225" cap="rnd" cmpd="sng" algn="ctr">
              <a:solidFill>
                <a:schemeClr val="dk1">
                  <a:tint val="5500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394-49F1-9401-74AFC4EAB519}"/>
                </c:ext>
              </c:extLst>
            </c:dLbl>
            <c:dLbl>
              <c:idx val="1"/>
              <c:layout>
                <c:manualLayout>
                  <c:x val="-0.0227414103301842"/>
                  <c:y val="-0.050594485201113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1550-4FD0-9B2F-C7152187FE99}"/>
                </c:ext>
              </c:extLst>
            </c:dLbl>
            <c:dLbl>
              <c:idx val="2"/>
              <c:layout>
                <c:manualLayout>
                  <c:x val="-0.0504934917362897"/>
                  <c:y val="-0.040475588160890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550-4FD0-9B2F-C7152187FE99}"/>
                </c:ext>
              </c:extLst>
            </c:dLbl>
            <c:dLbl>
              <c:idx val="3"/>
              <c:layout>
                <c:manualLayout>
                  <c:x val="-0.0474099271356114"/>
                  <c:y val="-0.030356691120667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1550-4FD0-9B2F-C7152187FE99}"/>
                </c:ext>
              </c:extLst>
            </c:dLbl>
            <c:dLbl>
              <c:idx val="4"/>
              <c:layout>
                <c:manualLayout>
                  <c:x val="-0.0443263625349329"/>
                  <c:y val="-0.050594485201113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1550-4FD0-9B2F-C7152187FE99}"/>
                </c:ext>
              </c:extLst>
            </c:dLbl>
            <c:dLbl>
              <c:idx val="5"/>
              <c:layout>
                <c:manualLayout>
                  <c:x val="-0.0474099271356114"/>
                  <c:y val="-0.045535036681001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1550-4FD0-9B2F-C7152187FE99}"/>
                </c:ext>
              </c:extLst>
            </c:dLbl>
            <c:dLbl>
              <c:idx val="6"/>
              <c:layout>
                <c:manualLayout>
                  <c:x val="-0.0504934917362898"/>
                  <c:y val="-0.030356691120667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1550-4FD0-9B2F-C7152187FE99}"/>
                </c:ext>
              </c:extLst>
            </c:dLbl>
            <c:dLbl>
              <c:idx val="7"/>
              <c:layout>
                <c:manualLayout>
                  <c:x val="-0.0504934917362898"/>
                  <c:y val="-0.035416139640779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1550-4FD0-9B2F-C7152187FE99}"/>
                </c:ext>
              </c:extLst>
            </c:dLbl>
            <c:dLbl>
              <c:idx val="8"/>
              <c:layout>
                <c:manualLayout>
                  <c:x val="-0.0504934917362898"/>
                  <c:y val="-0.030356691120667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1550-4FD0-9B2F-C7152187FE99}"/>
                </c:ext>
              </c:extLst>
            </c:dLbl>
            <c:dLbl>
              <c:idx val="9"/>
              <c:layout>
                <c:manualLayout>
                  <c:x val="-0.0535770563369681"/>
                  <c:y val="-0.030356691120667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1550-4FD0-9B2F-C7152187FE99}"/>
                </c:ext>
              </c:extLst>
            </c:dLbl>
            <c:dLbl>
              <c:idx val="10"/>
              <c:layout>
                <c:manualLayout>
                  <c:x val="-0.0428651899548634"/>
                  <c:y val="-0.025297242600556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1550-4FD0-9B2F-C7152187FE9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'EU Turkey comparison'!$B$2:$L$2</c:f>
              <c:numCache>
                <c:formatCode>General</c:formatCode>
                <c:ptCount val="11"/>
                <c:pt idx="0">
                  <c:v>2015.0</c:v>
                </c:pt>
                <c:pt idx="1">
                  <c:v>2016.0</c:v>
                </c:pt>
                <c:pt idx="2">
                  <c:v>2017.0</c:v>
                </c:pt>
                <c:pt idx="3">
                  <c:v>2018.0</c:v>
                </c:pt>
                <c:pt idx="4">
                  <c:v>2019.0</c:v>
                </c:pt>
                <c:pt idx="5">
                  <c:v>2020.0</c:v>
                </c:pt>
                <c:pt idx="6">
                  <c:v>2021.0</c:v>
                </c:pt>
                <c:pt idx="7">
                  <c:v>2022.0</c:v>
                </c:pt>
                <c:pt idx="8">
                  <c:v>2023.0</c:v>
                </c:pt>
                <c:pt idx="9">
                  <c:v>2024.0</c:v>
                </c:pt>
                <c:pt idx="10">
                  <c:v>2025.0</c:v>
                </c:pt>
              </c:numCache>
            </c:numRef>
          </c:cat>
          <c:val>
            <c:numRef>
              <c:f>'EU Turkey comparison'!$B$4:$L$4</c:f>
              <c:numCache>
                <c:formatCode>0.00</c:formatCode>
                <c:ptCount val="11"/>
                <c:pt idx="0">
                  <c:v>8.030000000000001</c:v>
                </c:pt>
                <c:pt idx="1">
                  <c:v>2.51113716295428</c:v>
                </c:pt>
                <c:pt idx="2">
                  <c:v>2.047745923478632</c:v>
                </c:pt>
                <c:pt idx="3">
                  <c:v>1.583075775338378</c:v>
                </c:pt>
                <c:pt idx="4">
                  <c:v>0.992433123734413</c:v>
                </c:pt>
                <c:pt idx="5">
                  <c:v>0.401790472130449</c:v>
                </c:pt>
                <c:pt idx="6">
                  <c:v>0.148566556538421</c:v>
                </c:pt>
                <c:pt idx="7">
                  <c:v>0.0213151444101034</c:v>
                </c:pt>
                <c:pt idx="8">
                  <c:v>0.018757327080891</c:v>
                </c:pt>
                <c:pt idx="9">
                  <c:v>0.0161995097516786</c:v>
                </c:pt>
                <c:pt idx="10">
                  <c:v>0.0149206010870724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6-1550-4FD0-9B2F-C7152187FE9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marker val="1"/>
        <c:smooth val="0"/>
        <c:axId val="-2110327544"/>
        <c:axId val="-2133751672"/>
      </c:lineChart>
      <c:catAx>
        <c:axId val="-2110327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-2133751672"/>
        <c:crosses val="autoZero"/>
        <c:auto val="1"/>
        <c:lblAlgn val="ctr"/>
        <c:lblOffset val="100"/>
        <c:noMultiLvlLbl val="0"/>
      </c:catAx>
      <c:valAx>
        <c:axId val="-2133751672"/>
        <c:scaling>
          <c:orientation val="minMax"/>
        </c:scaling>
        <c:delete val="0"/>
        <c:axPos val="l"/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-2110327544"/>
        <c:crosses val="autoZero"/>
        <c:crossBetween val="between"/>
      </c:valAx>
      <c:spPr>
        <a:noFill/>
        <a:ln>
          <a:solidFill>
            <a:schemeClr val="bg1">
              <a:lumMod val="95000"/>
            </a:schemeClr>
          </a:solidFill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bg1">
          <a:lumMod val="95000"/>
        </a:schemeClr>
      </a:solidFill>
      <a:round/>
    </a:ln>
    <a:effectLst/>
  </c:spPr>
  <c:txPr>
    <a:bodyPr/>
    <a:lstStyle/>
    <a:p>
      <a:pPr>
        <a:defRPr sz="1000">
          <a:latin typeface="Times New Roman"/>
          <a:cs typeface="Times New Roman"/>
        </a:defRPr>
      </a:pPr>
      <a:endParaRPr lang="en-U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b="0" kern="1200" spc="20" baseline="0"/>
  </cs:categoryAxis>
  <cs:chartArea mods="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 cmpd="sng" algn="ctr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  <a:alpha val="33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gradFill>
        <a:gsLst>
          <a:gs pos="100000">
            <a:schemeClr val="lt1">
              <a:lumMod val="95000"/>
            </a:schemeClr>
          </a:gs>
          <a:gs pos="0">
            <a:schemeClr val="lt1"/>
          </a:gs>
        </a:gsLst>
        <a:lin ang="5400000" scaled="0"/>
      </a:gradFill>
    </cs:spPr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81BCA-4B9B-6946-A69D-11F3FA9F0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510</Words>
  <Characters>2910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Petrit Gashi</dc:creator>
  <cp:keywords/>
  <dc:description/>
  <cp:lastModifiedBy>Petrit Gashi</cp:lastModifiedBy>
  <cp:revision>2</cp:revision>
  <cp:lastPrinted>2016-08-01T16:18:00Z</cp:lastPrinted>
  <dcterms:created xsi:type="dcterms:W3CDTF">2017-01-14T01:06:00Z</dcterms:created>
  <dcterms:modified xsi:type="dcterms:W3CDTF">2017-01-14T01:06:00Z</dcterms:modified>
</cp:coreProperties>
</file>