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52" w:rsidRDefault="00F14252">
      <w:pPr>
        <w:rPr>
          <w:b/>
          <w:sz w:val="36"/>
          <w:lang w:val="tr-TR"/>
        </w:rPr>
      </w:pPr>
      <w:r w:rsidRPr="00F14252">
        <w:rPr>
          <w:b/>
          <w:sz w:val="36"/>
          <w:lang w:val="tr-TR"/>
        </w:rPr>
        <w:t>GRAPH:</w:t>
      </w:r>
    </w:p>
    <w:p w:rsidR="00F14252" w:rsidRPr="00F14252" w:rsidRDefault="00F14252">
      <w:pPr>
        <w:rPr>
          <w:b/>
          <w:sz w:val="36"/>
          <w:lang w:val="tr-TR"/>
        </w:rPr>
      </w:pPr>
    </w:p>
    <w:p w:rsidR="00F14252" w:rsidRDefault="00F14252" w:rsidP="00F14252">
      <w:pPr>
        <w:keepNext/>
        <w:spacing w:after="0" w:line="240" w:lineRule="auto"/>
        <w:ind w:firstLine="284"/>
      </w:pPr>
      <w:r>
        <w:rPr>
          <w:rFonts w:ascii="Times New Roman" w:hAnsi="Times New Roman"/>
          <w:noProof/>
          <w:sz w:val="24"/>
          <w:vertAlign w:val="subscript"/>
        </w:rPr>
        <w:drawing>
          <wp:inline distT="0" distB="0" distL="0" distR="0">
            <wp:extent cx="4362450" cy="2486025"/>
            <wp:effectExtent l="0" t="0" r="0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14252" w:rsidRDefault="00F14252" w:rsidP="00F14252">
      <w:pPr>
        <w:pStyle w:val="ResimYazs"/>
        <w:spacing w:after="0"/>
        <w:jc w:val="center"/>
        <w:rPr>
          <w:rFonts w:cs="Times New Roman"/>
          <w:color w:val="auto"/>
          <w:sz w:val="22"/>
        </w:rPr>
      </w:pPr>
      <w:r>
        <w:rPr>
          <w:color w:val="auto"/>
          <w:sz w:val="20"/>
        </w:rPr>
        <w:t xml:space="preserve">GRAPH 1: </w:t>
      </w:r>
      <w:r>
        <w:rPr>
          <w:b w:val="0"/>
          <w:i/>
          <w:color w:val="auto"/>
          <w:sz w:val="20"/>
        </w:rPr>
        <w:t>CO</w:t>
      </w:r>
      <w:r>
        <w:rPr>
          <w:b w:val="0"/>
          <w:i/>
          <w:color w:val="auto"/>
          <w:sz w:val="20"/>
          <w:vertAlign w:val="subscript"/>
        </w:rPr>
        <w:t>2</w:t>
      </w:r>
      <w:r>
        <w:rPr>
          <w:b w:val="0"/>
          <w:i/>
          <w:color w:val="auto"/>
          <w:sz w:val="20"/>
        </w:rPr>
        <w:t xml:space="preserve"> Emissions </w:t>
      </w:r>
      <w:proofErr w:type="gramStart"/>
      <w:r>
        <w:rPr>
          <w:b w:val="0"/>
          <w:i/>
          <w:color w:val="auto"/>
          <w:sz w:val="20"/>
        </w:rPr>
        <w:t>By</w:t>
      </w:r>
      <w:proofErr w:type="gramEnd"/>
      <w:r>
        <w:rPr>
          <w:b w:val="0"/>
          <w:i/>
          <w:color w:val="auto"/>
          <w:sz w:val="20"/>
        </w:rPr>
        <w:t xml:space="preserve"> Countries in 2015 (million tone)</w:t>
      </w:r>
    </w:p>
    <w:p w:rsidR="00F14252" w:rsidRDefault="00F14252" w:rsidP="00F14252">
      <w:pPr>
        <w:pStyle w:val="ResimYazs"/>
        <w:ind w:firstLine="284"/>
        <w:jc w:val="center"/>
        <w:rPr>
          <w:rFonts w:cs="Times New Roman"/>
          <w:color w:val="auto"/>
        </w:rPr>
      </w:pPr>
      <w:r>
        <w:rPr>
          <w:rFonts w:cs="Times New Roman"/>
          <w:color w:val="auto"/>
          <w:szCs w:val="22"/>
          <w:lang w:val="tr-TR"/>
        </w:rPr>
        <w:t xml:space="preserve">Source: </w:t>
      </w:r>
      <w:proofErr w:type="spellStart"/>
      <w:r>
        <w:rPr>
          <w:rFonts w:cs="Times New Roman"/>
          <w:b w:val="0"/>
          <w:color w:val="auto"/>
          <w:szCs w:val="22"/>
          <w:lang w:val="tr-TR"/>
        </w:rPr>
        <w:t>The</w:t>
      </w:r>
      <w:proofErr w:type="spellEnd"/>
      <w:r>
        <w:rPr>
          <w:rFonts w:cs="Times New Roman"/>
          <w:b w:val="0"/>
          <w:color w:val="auto"/>
          <w:szCs w:val="22"/>
          <w:lang w:val="tr-TR"/>
        </w:rPr>
        <w:t xml:space="preserve"> </w:t>
      </w:r>
      <w:proofErr w:type="spellStart"/>
      <w:r>
        <w:rPr>
          <w:rFonts w:cs="Times New Roman"/>
          <w:b w:val="0"/>
          <w:color w:val="auto"/>
          <w:szCs w:val="22"/>
          <w:lang w:val="tr-TR"/>
        </w:rPr>
        <w:t>Statistics</w:t>
      </w:r>
      <w:proofErr w:type="spellEnd"/>
      <w:r>
        <w:rPr>
          <w:rFonts w:cs="Times New Roman"/>
          <w:b w:val="0"/>
          <w:color w:val="auto"/>
          <w:szCs w:val="22"/>
          <w:lang w:val="tr-TR"/>
        </w:rPr>
        <w:t xml:space="preserve"> Portal, 2016</w:t>
      </w:r>
    </w:p>
    <w:p w:rsidR="00F14252" w:rsidRDefault="00F14252" w:rsidP="00F14252">
      <w:pPr>
        <w:spacing w:after="0" w:line="240" w:lineRule="auto"/>
        <w:ind w:firstLine="284"/>
        <w:rPr>
          <w:rFonts w:cs="Times New Roman"/>
          <w:b/>
          <w:bCs/>
        </w:rPr>
      </w:pPr>
    </w:p>
    <w:p w:rsidR="00F14252" w:rsidRDefault="00F14252" w:rsidP="00F14252">
      <w:pPr>
        <w:keepNext/>
        <w:spacing w:after="0" w:line="240" w:lineRule="auto"/>
        <w:ind w:firstLine="284"/>
        <w:rPr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362450" cy="217170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4252" w:rsidRDefault="00F14252" w:rsidP="00F14252">
      <w:pPr>
        <w:pStyle w:val="ResimYazs"/>
        <w:spacing w:after="0"/>
        <w:ind w:firstLine="284"/>
        <w:jc w:val="center"/>
        <w:rPr>
          <w:rFonts w:cs="Times New Roman"/>
          <w:color w:val="auto"/>
          <w:sz w:val="22"/>
        </w:rPr>
      </w:pPr>
      <w:r>
        <w:rPr>
          <w:color w:val="auto"/>
          <w:sz w:val="20"/>
        </w:rPr>
        <w:t xml:space="preserve">GRAPH 2: </w:t>
      </w:r>
      <w:r>
        <w:rPr>
          <w:b w:val="0"/>
          <w:i/>
          <w:color w:val="auto"/>
          <w:sz w:val="20"/>
        </w:rPr>
        <w:t>Per Capita CO</w:t>
      </w:r>
      <w:r>
        <w:rPr>
          <w:b w:val="0"/>
          <w:i/>
          <w:color w:val="auto"/>
          <w:sz w:val="20"/>
          <w:vertAlign w:val="subscript"/>
        </w:rPr>
        <w:t xml:space="preserve">2 </w:t>
      </w:r>
      <w:r>
        <w:rPr>
          <w:b w:val="0"/>
          <w:i/>
          <w:color w:val="auto"/>
          <w:sz w:val="20"/>
        </w:rPr>
        <w:t>Emissions of Highest Emitting Countries (tCO</w:t>
      </w:r>
      <w:r>
        <w:rPr>
          <w:b w:val="0"/>
          <w:i/>
          <w:color w:val="auto"/>
          <w:sz w:val="20"/>
          <w:vertAlign w:val="subscript"/>
        </w:rPr>
        <w:t>2</w:t>
      </w:r>
      <w:r>
        <w:rPr>
          <w:b w:val="0"/>
          <w:i/>
          <w:color w:val="auto"/>
          <w:sz w:val="20"/>
        </w:rPr>
        <w:t>)</w:t>
      </w:r>
    </w:p>
    <w:p w:rsidR="00F14252" w:rsidRDefault="00F14252" w:rsidP="00F14252">
      <w:pPr>
        <w:pStyle w:val="ResimYazs"/>
        <w:ind w:firstLine="284"/>
        <w:jc w:val="center"/>
        <w:rPr>
          <w:rFonts w:cs="Times New Roman"/>
          <w:b w:val="0"/>
          <w:color w:val="auto"/>
        </w:rPr>
      </w:pPr>
      <w:r>
        <w:rPr>
          <w:rFonts w:cs="Times New Roman"/>
          <w:color w:val="auto"/>
          <w:szCs w:val="22"/>
          <w:lang w:val="tr-TR"/>
        </w:rPr>
        <w:t xml:space="preserve">Source: </w:t>
      </w:r>
      <w:r>
        <w:rPr>
          <w:rFonts w:cs="Times New Roman"/>
          <w:b w:val="0"/>
          <w:color w:val="auto"/>
          <w:szCs w:val="22"/>
          <w:lang w:val="tr-TR"/>
        </w:rPr>
        <w:t xml:space="preserve">Global </w:t>
      </w:r>
      <w:proofErr w:type="spellStart"/>
      <w:r>
        <w:rPr>
          <w:rFonts w:cs="Times New Roman"/>
          <w:b w:val="0"/>
          <w:color w:val="auto"/>
          <w:szCs w:val="22"/>
          <w:lang w:val="tr-TR"/>
        </w:rPr>
        <w:t>Carbon</w:t>
      </w:r>
      <w:proofErr w:type="spellEnd"/>
      <w:r>
        <w:rPr>
          <w:rFonts w:cs="Times New Roman"/>
          <w:b w:val="0"/>
          <w:color w:val="auto"/>
          <w:szCs w:val="22"/>
          <w:lang w:val="tr-TR"/>
        </w:rPr>
        <w:t xml:space="preserve"> Atlas, 2016</w:t>
      </w:r>
    </w:p>
    <w:p w:rsidR="00F14252" w:rsidRDefault="00F14252">
      <w:pPr>
        <w:rPr>
          <w:lang w:val="tr-TR"/>
        </w:rPr>
      </w:pPr>
    </w:p>
    <w:p w:rsidR="00F14252" w:rsidRDefault="00F14252" w:rsidP="00F14252">
      <w:pPr>
        <w:spacing w:after="0" w:line="240" w:lineRule="auto"/>
        <w:ind w:firstLine="284"/>
        <w:rPr>
          <w:rFonts w:cs="Times New Roman"/>
        </w:rPr>
      </w:pPr>
    </w:p>
    <w:p w:rsidR="00F14252" w:rsidRDefault="00F14252" w:rsidP="00F14252">
      <w:pPr>
        <w:keepNext/>
        <w:spacing w:after="0" w:line="240" w:lineRule="auto"/>
        <w:ind w:firstLine="284"/>
        <w:rPr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4267200" cy="2495550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4252" w:rsidRDefault="00F14252" w:rsidP="00F14252">
      <w:pPr>
        <w:pStyle w:val="ResimYazs"/>
        <w:spacing w:after="0"/>
        <w:ind w:firstLine="284"/>
        <w:jc w:val="center"/>
        <w:rPr>
          <w:rFonts w:cs="Times New Roman"/>
          <w:i/>
          <w:color w:val="auto"/>
          <w:sz w:val="22"/>
        </w:rPr>
      </w:pPr>
      <w:r>
        <w:rPr>
          <w:color w:val="auto"/>
          <w:sz w:val="20"/>
        </w:rPr>
        <w:t xml:space="preserve">GRAPH </w:t>
      </w:r>
      <w:r>
        <w:rPr>
          <w:noProof/>
          <w:color w:val="auto"/>
          <w:sz w:val="20"/>
        </w:rPr>
        <w:t xml:space="preserve">3: </w:t>
      </w:r>
      <w:r>
        <w:rPr>
          <w:b w:val="0"/>
          <w:i/>
          <w:noProof/>
          <w:color w:val="auto"/>
          <w:sz w:val="20"/>
        </w:rPr>
        <w:t>Development of Foreign Direct Investment (Billion $, 1970-2013)</w:t>
      </w:r>
    </w:p>
    <w:p w:rsidR="00F14252" w:rsidRDefault="00F14252" w:rsidP="00F14252">
      <w:pPr>
        <w:pStyle w:val="ResimYazs"/>
        <w:spacing w:after="0"/>
        <w:ind w:firstLine="284"/>
        <w:jc w:val="center"/>
        <w:rPr>
          <w:rFonts w:cs="Times New Roman"/>
          <w:b w:val="0"/>
          <w:color w:val="auto"/>
          <w:szCs w:val="22"/>
          <w:lang w:val="tr-TR"/>
        </w:rPr>
      </w:pPr>
      <w:r>
        <w:rPr>
          <w:rFonts w:cs="Times New Roman"/>
          <w:color w:val="auto"/>
          <w:szCs w:val="22"/>
          <w:lang w:val="tr-TR"/>
        </w:rPr>
        <w:t>Source:</w:t>
      </w:r>
      <w:r>
        <w:rPr>
          <w:rFonts w:cs="Times New Roman"/>
          <w:b w:val="0"/>
          <w:color w:val="auto"/>
          <w:szCs w:val="22"/>
          <w:lang w:val="tr-TR"/>
        </w:rPr>
        <w:t xml:space="preserve"> UNCTAD, 2015.</w:t>
      </w:r>
    </w:p>
    <w:p w:rsidR="004564EC" w:rsidRDefault="00F14252">
      <w:pPr>
        <w:rPr>
          <w:lang w:val="tr-TR"/>
        </w:rPr>
      </w:pPr>
      <w:r>
        <w:rPr>
          <w:lang w:val="tr-TR"/>
        </w:rPr>
        <w:t xml:space="preserve"> </w:t>
      </w:r>
    </w:p>
    <w:p w:rsidR="00F14252" w:rsidRDefault="00F14252" w:rsidP="00F14252">
      <w:pPr>
        <w:tabs>
          <w:tab w:val="left" w:pos="1578"/>
        </w:tabs>
        <w:spacing w:after="0" w:line="120" w:lineRule="auto"/>
        <w:ind w:firstLine="284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2228850" cy="21431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</w:t>
      </w:r>
      <w:r>
        <w:rPr>
          <w:rFonts w:cs="Times New Roman"/>
          <w:noProof/>
        </w:rPr>
        <w:drawing>
          <wp:inline distT="0" distB="0" distL="0" distR="0">
            <wp:extent cx="2143125" cy="21431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252" w:rsidRDefault="00F14252" w:rsidP="00F14252">
      <w:pPr>
        <w:pStyle w:val="ResimYazs"/>
        <w:keepNext/>
        <w:spacing w:after="0"/>
        <w:ind w:firstLine="284"/>
        <w:rPr>
          <w:rFonts w:cs="Times New Roman"/>
          <w:b w:val="0"/>
          <w:i/>
          <w:color w:val="auto"/>
          <w:sz w:val="20"/>
          <w:szCs w:val="22"/>
          <w:lang w:val="tr-TR"/>
        </w:rPr>
      </w:pPr>
      <w:r>
        <w:rPr>
          <w:rFonts w:cs="Times New Roman"/>
          <w:color w:val="auto"/>
          <w:sz w:val="22"/>
          <w:szCs w:val="22"/>
          <w:lang w:val="tr-TR"/>
        </w:rPr>
        <w:t xml:space="preserve">                 </w:t>
      </w:r>
      <w:r>
        <w:rPr>
          <w:rFonts w:cs="Times New Roman"/>
          <w:color w:val="auto"/>
          <w:sz w:val="22"/>
          <w:szCs w:val="22"/>
          <w:lang w:val="tr-TR"/>
        </w:rPr>
        <w:t xml:space="preserve">GRAPH 4: </w:t>
      </w:r>
      <w:r>
        <w:rPr>
          <w:rFonts w:cs="Times New Roman"/>
          <w:b w:val="0"/>
          <w:i/>
          <w:color w:val="auto"/>
          <w:sz w:val="20"/>
          <w:szCs w:val="22"/>
          <w:lang w:val="tr-TR"/>
        </w:rPr>
        <w:t xml:space="preserve">CUSUM </w:t>
      </w:r>
      <w:proofErr w:type="spellStart"/>
      <w:r>
        <w:rPr>
          <w:rFonts w:cs="Times New Roman"/>
          <w:b w:val="0"/>
          <w:i/>
          <w:color w:val="auto"/>
          <w:sz w:val="20"/>
          <w:szCs w:val="22"/>
          <w:lang w:val="tr-TR"/>
        </w:rPr>
        <w:t>and</w:t>
      </w:r>
      <w:proofErr w:type="spellEnd"/>
      <w:r>
        <w:rPr>
          <w:rFonts w:cs="Times New Roman"/>
          <w:b w:val="0"/>
          <w:i/>
          <w:color w:val="auto"/>
          <w:sz w:val="20"/>
          <w:szCs w:val="22"/>
          <w:lang w:val="tr-TR"/>
        </w:rPr>
        <w:t xml:space="preserve"> CUSUMQ </w:t>
      </w:r>
      <w:proofErr w:type="spellStart"/>
      <w:r>
        <w:rPr>
          <w:rFonts w:cs="Times New Roman"/>
          <w:b w:val="0"/>
          <w:i/>
          <w:color w:val="auto"/>
          <w:sz w:val="20"/>
          <w:szCs w:val="22"/>
          <w:lang w:val="tr-TR"/>
        </w:rPr>
        <w:t>Stability</w:t>
      </w:r>
      <w:proofErr w:type="spellEnd"/>
      <w:r>
        <w:rPr>
          <w:rFonts w:cs="Times New Roman"/>
          <w:b w:val="0"/>
          <w:i/>
          <w:color w:val="auto"/>
          <w:sz w:val="20"/>
          <w:szCs w:val="22"/>
          <w:lang w:val="tr-TR"/>
        </w:rPr>
        <w:t xml:space="preserve"> </w:t>
      </w:r>
      <w:proofErr w:type="spellStart"/>
      <w:r>
        <w:rPr>
          <w:rFonts w:cs="Times New Roman"/>
          <w:b w:val="0"/>
          <w:i/>
          <w:color w:val="auto"/>
          <w:sz w:val="20"/>
          <w:szCs w:val="22"/>
          <w:lang w:val="tr-TR"/>
        </w:rPr>
        <w:t>Tests</w:t>
      </w:r>
      <w:proofErr w:type="spellEnd"/>
      <w:r>
        <w:rPr>
          <w:rFonts w:cs="Times New Roman"/>
          <w:b w:val="0"/>
          <w:i/>
          <w:color w:val="auto"/>
          <w:sz w:val="20"/>
          <w:szCs w:val="22"/>
          <w:lang w:val="tr-TR"/>
        </w:rPr>
        <w:t xml:space="preserve"> (1970-2014)</w:t>
      </w:r>
    </w:p>
    <w:p w:rsidR="00F14252" w:rsidRDefault="00F14252">
      <w:pPr>
        <w:rPr>
          <w:lang w:val="tr-TR"/>
        </w:rPr>
      </w:pPr>
    </w:p>
    <w:p w:rsidR="00F14252" w:rsidRPr="00F14252" w:rsidRDefault="00F14252">
      <w:pPr>
        <w:rPr>
          <w:b/>
          <w:sz w:val="40"/>
          <w:lang w:val="tr-TR"/>
        </w:rPr>
      </w:pPr>
      <w:r w:rsidRPr="00F14252">
        <w:rPr>
          <w:b/>
          <w:sz w:val="40"/>
          <w:lang w:val="tr-TR"/>
        </w:rPr>
        <w:t>TABLE</w:t>
      </w:r>
    </w:p>
    <w:p w:rsidR="00F14252" w:rsidRPr="00F14252" w:rsidRDefault="00F14252" w:rsidP="00F14252">
      <w:pPr>
        <w:pStyle w:val="Balk2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TABLE 1: </w:t>
      </w:r>
      <w:proofErr w:type="spellStart"/>
      <w:r>
        <w:rPr>
          <w:rFonts w:cs="Times New Roman"/>
          <w:b w:val="0"/>
          <w:i/>
          <w:szCs w:val="22"/>
        </w:rPr>
        <w:t>Summary</w:t>
      </w:r>
      <w:proofErr w:type="spellEnd"/>
      <w:r>
        <w:rPr>
          <w:rFonts w:cs="Times New Roman"/>
          <w:b w:val="0"/>
          <w:i/>
          <w:szCs w:val="22"/>
        </w:rPr>
        <w:t xml:space="preserve"> of </w:t>
      </w:r>
      <w:proofErr w:type="spellStart"/>
      <w:r>
        <w:rPr>
          <w:rFonts w:cs="Times New Roman"/>
          <w:b w:val="0"/>
          <w:i/>
          <w:szCs w:val="22"/>
        </w:rPr>
        <w:t>Literature</w:t>
      </w:r>
      <w:proofErr w:type="spellEnd"/>
      <w:r>
        <w:rPr>
          <w:rFonts w:cs="Times New Roman"/>
          <w:b w:val="0"/>
          <w:i/>
          <w:szCs w:val="22"/>
        </w:rPr>
        <w:t xml:space="preserve"> </w:t>
      </w:r>
      <w:proofErr w:type="spellStart"/>
      <w:r>
        <w:rPr>
          <w:rFonts w:cs="Times New Roman"/>
          <w:b w:val="0"/>
          <w:i/>
          <w:szCs w:val="22"/>
        </w:rPr>
        <w:t>Review</w:t>
      </w:r>
      <w:proofErr w:type="spellEnd"/>
    </w:p>
    <w:tbl>
      <w:tblPr>
        <w:tblStyle w:val="TabloKlavuzu"/>
        <w:tblW w:w="7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8"/>
        <w:gridCol w:w="968"/>
        <w:gridCol w:w="726"/>
        <w:gridCol w:w="1088"/>
        <w:gridCol w:w="3630"/>
      </w:tblGrid>
      <w:tr w:rsidR="00F14252" w:rsidTr="00F14252">
        <w:trPr>
          <w:trHeight w:val="2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Author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Country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b/>
                <w:sz w:val="18"/>
              </w:rPr>
            </w:pPr>
            <w:proofErr w:type="spellStart"/>
            <w:r>
              <w:rPr>
                <w:rFonts w:cs="Times New Roman"/>
                <w:b/>
                <w:sz w:val="18"/>
              </w:rPr>
              <w:t>Period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b/>
                <w:sz w:val="18"/>
              </w:rPr>
            </w:pPr>
            <w:proofErr w:type="spellStart"/>
            <w:r>
              <w:rPr>
                <w:rFonts w:cs="Times New Roman"/>
                <w:b/>
                <w:sz w:val="18"/>
              </w:rPr>
              <w:t>Method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b/>
                <w:sz w:val="18"/>
              </w:rPr>
            </w:pPr>
            <w:proofErr w:type="spellStart"/>
            <w:r>
              <w:rPr>
                <w:rFonts w:cs="Times New Roman"/>
                <w:b/>
                <w:sz w:val="18"/>
              </w:rPr>
              <w:t>Findings</w:t>
            </w:r>
            <w:proofErr w:type="spellEnd"/>
          </w:p>
        </w:tc>
      </w:tr>
      <w:tr w:rsidR="00F14252" w:rsidTr="00F14252">
        <w:trPr>
          <w:trHeight w:val="85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Linh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Lin (2015)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Most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Populated</w:t>
            </w:r>
            <w:proofErr w:type="spellEnd"/>
            <w:r>
              <w:rPr>
                <w:rFonts w:cs="Times New Roman"/>
                <w:sz w:val="18"/>
              </w:rPr>
              <w:t xml:space="preserve"> 12 </w:t>
            </w:r>
            <w:proofErr w:type="spellStart"/>
            <w:r>
              <w:rPr>
                <w:rFonts w:cs="Times New Roman"/>
                <w:sz w:val="18"/>
              </w:rPr>
              <w:t>Asia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1980-2010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↔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short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>)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Incomer</w:t>
            </w:r>
            <w:proofErr w:type="spellEnd"/>
            <w:r>
              <w:rPr>
                <w:rFonts w:cs="Times New Roman"/>
                <w:sz w:val="18"/>
              </w:rPr>
              <w:t xml:space="preserve"> ↔FDI ( </w:t>
            </w:r>
            <w:proofErr w:type="spellStart"/>
            <w:r>
              <w:rPr>
                <w:rFonts w:cs="Times New Roman"/>
                <w:sz w:val="18"/>
              </w:rPr>
              <w:t>short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 xml:space="preserve"> )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→ 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, FDI,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long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>)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FDI→ 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</w:rPr>
              <w:t>long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>)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Tang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Tan (2015)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Vietnam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1976-2009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Cointegration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Causality</w:t>
            </w:r>
            <w:proofErr w:type="spellEnd"/>
            <w:r>
              <w:rPr>
                <w:rFonts w:cs="Times New Roman"/>
                <w:sz w:val="18"/>
              </w:rPr>
              <w:t xml:space="preserve"> Analysis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↔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↔FDI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↔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</w:tc>
      </w:tr>
      <w:tr w:rsidR="00F14252" w:rsidTr="00F14252">
        <w:trPr>
          <w:trHeight w:val="4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Koçak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1960-2010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EKC </w:t>
            </w:r>
            <w:proofErr w:type="spellStart"/>
            <w:r>
              <w:rPr>
                <w:rFonts w:cs="Times New Roman"/>
                <w:sz w:val="18"/>
              </w:rPr>
              <w:t>hypothesis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4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lastRenderedPageBreak/>
              <w:t>Kivyiro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Arminen</w:t>
            </w:r>
            <w:proofErr w:type="spellEnd"/>
            <w:r>
              <w:rPr>
                <w:rFonts w:cs="Times New Roman"/>
                <w:sz w:val="18"/>
              </w:rPr>
              <w:t xml:space="preserve">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6 </w:t>
            </w:r>
            <w:proofErr w:type="spellStart"/>
            <w:r>
              <w:rPr>
                <w:rFonts w:cs="Times New Roman"/>
                <w:sz w:val="18"/>
              </w:rPr>
              <w:t>Africa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1971-2009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long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all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variables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move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together</w:t>
            </w:r>
            <w:proofErr w:type="spellEnd"/>
            <w:r>
              <w:rPr>
                <w:rFonts w:cs="Times New Roman"/>
                <w:sz w:val="18"/>
              </w:rPr>
              <w:t>. (CO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, FDI, GDP,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>)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Şahinöz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Fotourehchi</w:t>
            </w:r>
            <w:proofErr w:type="spellEnd"/>
            <w:r>
              <w:rPr>
                <w:rFonts w:cs="Times New Roman"/>
                <w:sz w:val="18"/>
              </w:rPr>
              <w:t xml:space="preserve">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1974-2011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OLS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Pollution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Haven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Hypthesis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Akın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12 High-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1970-2012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Dynamic</w:t>
            </w:r>
            <w:proofErr w:type="spellEnd"/>
            <w:r>
              <w:rPr>
                <w:rFonts w:cs="Times New Roman"/>
                <w:sz w:val="18"/>
              </w:rPr>
              <w:t xml:space="preserve"> 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Negative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relationship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FDI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Positive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relationship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Per </w:t>
            </w:r>
            <w:proofErr w:type="spellStart"/>
            <w:r>
              <w:rPr>
                <w:rFonts w:cs="Times New Roman"/>
                <w:sz w:val="18"/>
              </w:rPr>
              <w:t>capita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increases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Sbia</w:t>
            </w:r>
            <w:proofErr w:type="spellEnd"/>
            <w:r>
              <w:rPr>
                <w:rFonts w:cs="Times New Roman"/>
                <w:sz w:val="18"/>
              </w:rPr>
              <w:t xml:space="preserve"> 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United </w:t>
            </w:r>
            <w:proofErr w:type="spellStart"/>
            <w:r>
              <w:rPr>
                <w:rFonts w:cs="Times New Roman"/>
                <w:sz w:val="18"/>
              </w:rPr>
              <w:t>Arab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Emirates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1975Q1-2011Q4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FDı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openness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increases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Economic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growth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clean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Azlina</w:t>
            </w:r>
            <w:proofErr w:type="spellEnd"/>
            <w:r>
              <w:rPr>
                <w:rFonts w:cs="Times New Roman"/>
                <w:sz w:val="18"/>
              </w:rPr>
              <w:t xml:space="preserve"> et al</w:t>
            </w:r>
            <w:proofErr w:type="gramStart"/>
            <w:r>
              <w:rPr>
                <w:rFonts w:cs="Times New Roman"/>
                <w:sz w:val="18"/>
              </w:rPr>
              <w:t>..</w:t>
            </w:r>
            <w:proofErr w:type="gramEnd"/>
            <w:r>
              <w:rPr>
                <w:rFonts w:cs="Times New Roman"/>
                <w:sz w:val="18"/>
              </w:rPr>
              <w:t xml:space="preserve">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Malaysia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1975-2011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Cointegration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Causality</w:t>
            </w:r>
            <w:proofErr w:type="spellEnd"/>
            <w:r>
              <w:rPr>
                <w:rFonts w:cs="Times New Roman"/>
                <w:sz w:val="18"/>
              </w:rPr>
              <w:t xml:space="preserve"> Analysis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 xml:space="preserve">2 </w:t>
            </w:r>
            <w:proofErr w:type="gramStart"/>
            <w:r>
              <w:rPr>
                <w:rFonts w:cs="Times New Roman"/>
                <w:sz w:val="18"/>
              </w:rPr>
              <w:t>emisyonları</w:t>
            </w:r>
            <w:proofErr w:type="gramEnd"/>
            <w:r>
              <w:rPr>
                <w:rFonts w:cs="Times New Roman"/>
                <w:sz w:val="18"/>
              </w:rPr>
              <w:t xml:space="preserve"> gelir, enerji tüketimi ve yenilenebilir enerji kullanımının </w:t>
            </w:r>
            <w:proofErr w:type="spellStart"/>
            <w:r>
              <w:rPr>
                <w:rFonts w:cs="Times New Roman"/>
                <w:sz w:val="18"/>
              </w:rPr>
              <w:t>Granger</w:t>
            </w:r>
            <w:proofErr w:type="spellEnd"/>
            <w:r>
              <w:rPr>
                <w:rFonts w:cs="Times New Roman"/>
                <w:sz w:val="18"/>
              </w:rPr>
              <w:t xml:space="preserve"> nedenidir.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 xml:space="preserve">2 </w:t>
            </w:r>
            <w:r>
              <w:rPr>
                <w:rFonts w:cs="Times New Roman"/>
                <w:sz w:val="18"/>
              </w:rPr>
              <w:t xml:space="preserve">is </w:t>
            </w:r>
            <w:proofErr w:type="spellStart"/>
            <w:r>
              <w:rPr>
                <w:rFonts w:cs="Times New Roman"/>
                <w:sz w:val="18"/>
              </w:rPr>
              <w:t>granger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cause</w:t>
            </w:r>
            <w:proofErr w:type="spellEnd"/>
            <w:r>
              <w:rPr>
                <w:rFonts w:cs="Times New Roman"/>
                <w:sz w:val="18"/>
              </w:rPr>
              <w:t xml:space="preserve"> of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use</w:t>
            </w:r>
            <w:proofErr w:type="spellEnd"/>
            <w:r>
              <w:rPr>
                <w:rFonts w:cs="Times New Roman"/>
                <w:sz w:val="18"/>
              </w:rPr>
              <w:t xml:space="preserve"> of </w:t>
            </w:r>
            <w:proofErr w:type="spellStart"/>
            <w:r>
              <w:rPr>
                <w:rFonts w:cs="Times New Roman"/>
                <w:sz w:val="18"/>
              </w:rPr>
              <w:t>renewable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Omri</w:t>
            </w:r>
            <w:proofErr w:type="spellEnd"/>
            <w:r>
              <w:rPr>
                <w:rFonts w:cs="Times New Roman"/>
                <w:sz w:val="18"/>
              </w:rPr>
              <w:t xml:space="preserve"> et al. (2014)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54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1990-2011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Dinamik Panel Veri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FDI↔GDP (</w:t>
            </w:r>
            <w:proofErr w:type="spellStart"/>
            <w:r>
              <w:rPr>
                <w:rFonts w:cs="Times New Roman"/>
                <w:sz w:val="18"/>
              </w:rPr>
              <w:t>all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>)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↔FDI (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except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for</w:t>
            </w:r>
            <w:proofErr w:type="spellEnd"/>
            <w:r>
              <w:rPr>
                <w:rFonts w:cs="Times New Roman"/>
                <w:sz w:val="18"/>
              </w:rPr>
              <w:t xml:space="preserve"> North </w:t>
            </w:r>
            <w:proofErr w:type="spellStart"/>
            <w:r>
              <w:rPr>
                <w:rFonts w:cs="Times New Roman"/>
                <w:sz w:val="18"/>
              </w:rPr>
              <w:t>Asia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Europe)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Al-</w:t>
            </w:r>
            <w:proofErr w:type="spellStart"/>
            <w:r>
              <w:rPr>
                <w:rFonts w:cs="Times New Roman"/>
                <w:sz w:val="18"/>
              </w:rPr>
              <w:t>Mulali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Tang</w:t>
            </w:r>
            <w:proofErr w:type="spellEnd"/>
            <w:r>
              <w:rPr>
                <w:rFonts w:cs="Times New Roman"/>
                <w:sz w:val="18"/>
              </w:rPr>
              <w:t xml:space="preserve"> (2013)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Gulf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Cooperation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Council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1980-2009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Non-Linear</w:t>
            </w:r>
            <w:proofErr w:type="spellEnd"/>
            <w:r>
              <w:rPr>
                <w:rFonts w:cs="Times New Roman"/>
                <w:sz w:val="18"/>
              </w:rPr>
              <w:t xml:space="preserve"> 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Pollution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Haven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Hypthesis</w:t>
            </w:r>
            <w:proofErr w:type="spellEnd"/>
            <w:r>
              <w:rPr>
                <w:rFonts w:cs="Times New Roman"/>
                <w:sz w:val="18"/>
              </w:rPr>
              <w:t xml:space="preserve"> is not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4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Chandran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Tang</w:t>
            </w:r>
            <w:proofErr w:type="spellEnd"/>
            <w:r>
              <w:rPr>
                <w:rFonts w:cs="Times New Roman"/>
                <w:sz w:val="18"/>
              </w:rPr>
              <w:t xml:space="preserve"> (2013)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ASEAN-5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1971-2008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Cointegration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While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road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sector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determinants</w:t>
            </w:r>
            <w:proofErr w:type="spellEnd"/>
            <w:r>
              <w:rPr>
                <w:rFonts w:cs="Times New Roman"/>
                <w:sz w:val="18"/>
              </w:rPr>
              <w:t xml:space="preserve"> of CO</w:t>
            </w:r>
            <w:r>
              <w:rPr>
                <w:rFonts w:cs="Times New Roman"/>
                <w:sz w:val="18"/>
                <w:vertAlign w:val="subscript"/>
              </w:rPr>
              <w:t xml:space="preserve">2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  <w:vertAlign w:val="subscript"/>
              </w:rPr>
              <w:t>,</w:t>
            </w:r>
            <w:r>
              <w:rPr>
                <w:rFonts w:cs="Times New Roman"/>
                <w:sz w:val="18"/>
              </w:rPr>
              <w:t xml:space="preserve"> FDI is not.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Öztürk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Acaravcı</w:t>
            </w:r>
            <w:proofErr w:type="spellEnd"/>
            <w:r>
              <w:rPr>
                <w:rFonts w:cs="Times New Roman"/>
                <w:sz w:val="18"/>
              </w:rPr>
              <w:t xml:space="preserve"> (2013)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1960-2007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Cointegration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EKC </w:t>
            </w:r>
            <w:proofErr w:type="spellStart"/>
            <w:r>
              <w:rPr>
                <w:rFonts w:cs="Times New Roman"/>
                <w:sz w:val="18"/>
              </w:rPr>
              <w:t>hypothesis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Mahmood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Chaudary</w:t>
            </w:r>
            <w:proofErr w:type="spellEnd"/>
            <w:r>
              <w:rPr>
                <w:rFonts w:cs="Times New Roman"/>
                <w:sz w:val="18"/>
              </w:rPr>
              <w:t xml:space="preserve"> (2012)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Pakistan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1972-2005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  <w:vertAlign w:val="subscript"/>
              </w:rPr>
            </w:pPr>
            <w:r>
              <w:rPr>
                <w:rFonts w:cs="Times New Roman"/>
                <w:sz w:val="18"/>
              </w:rPr>
              <w:t xml:space="preserve">FDI, </w:t>
            </w:r>
            <w:proofErr w:type="spellStart"/>
            <w:r>
              <w:rPr>
                <w:rFonts w:cs="Times New Roman"/>
                <w:sz w:val="18"/>
              </w:rPr>
              <w:t>value-added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manufacturing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industry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population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intensity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Al-</w:t>
            </w:r>
            <w:proofErr w:type="spellStart"/>
            <w:r>
              <w:rPr>
                <w:rFonts w:cs="Times New Roman"/>
                <w:sz w:val="18"/>
              </w:rPr>
              <w:t>mulali</w:t>
            </w:r>
            <w:proofErr w:type="spellEnd"/>
            <w:r>
              <w:rPr>
                <w:rFonts w:cs="Times New Roman"/>
                <w:sz w:val="18"/>
              </w:rPr>
              <w:t xml:space="preserve"> (2012)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12 </w:t>
            </w:r>
            <w:proofErr w:type="spellStart"/>
            <w:r>
              <w:rPr>
                <w:rFonts w:cs="Times New Roman"/>
                <w:sz w:val="18"/>
              </w:rPr>
              <w:t>Middle</w:t>
            </w:r>
            <w:proofErr w:type="spellEnd"/>
            <w:r>
              <w:rPr>
                <w:rFonts w:cs="Times New Roman"/>
                <w:sz w:val="18"/>
              </w:rPr>
              <w:t xml:space="preserve"> East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1990-2009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GDP  ↔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FDI ↔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Enerjy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↔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Total </w:t>
            </w:r>
            <w:proofErr w:type="spellStart"/>
            <w:r>
              <w:rPr>
                <w:rFonts w:cs="Times New Roman"/>
                <w:sz w:val="18"/>
              </w:rPr>
              <w:t>Trade</w:t>
            </w:r>
            <w:proofErr w:type="spellEnd"/>
            <w:r>
              <w:rPr>
                <w:rFonts w:cs="Times New Roman"/>
                <w:sz w:val="18"/>
              </w:rPr>
              <w:t xml:space="preserve"> ↔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</w:tc>
      </w:tr>
      <w:tr w:rsidR="00F14252" w:rsidTr="00F14252">
        <w:trPr>
          <w:trHeight w:val="109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Farhani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Rejeb</w:t>
            </w:r>
            <w:proofErr w:type="spellEnd"/>
            <w:r>
              <w:rPr>
                <w:rFonts w:cs="Times New Roman"/>
                <w:sz w:val="18"/>
              </w:rPr>
              <w:t xml:space="preserve"> (2012)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15 </w:t>
            </w:r>
            <w:proofErr w:type="spellStart"/>
            <w:r>
              <w:rPr>
                <w:rFonts w:cs="Times New Roman"/>
                <w:sz w:val="18"/>
              </w:rPr>
              <w:t>Middle</w:t>
            </w:r>
            <w:proofErr w:type="spellEnd"/>
            <w:r>
              <w:rPr>
                <w:rFonts w:cs="Times New Roman"/>
                <w:sz w:val="18"/>
              </w:rPr>
              <w:t xml:space="preserve"> East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North </w:t>
            </w:r>
            <w:proofErr w:type="spellStart"/>
            <w:r>
              <w:rPr>
                <w:rFonts w:cs="Times New Roman"/>
                <w:sz w:val="18"/>
              </w:rPr>
              <w:t>Africa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1973-2008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No </w:t>
            </w:r>
            <w:proofErr w:type="spellStart"/>
            <w:r>
              <w:rPr>
                <w:rFonts w:cs="Times New Roman"/>
                <w:sz w:val="18"/>
              </w:rPr>
              <w:t>relation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GDP,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short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GDP→Energy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→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</w:p>
        </w:tc>
      </w:tr>
      <w:tr w:rsidR="00F14252" w:rsidTr="00F14252">
        <w:trPr>
          <w:trHeight w:val="11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Arouri</w:t>
            </w:r>
            <w:proofErr w:type="spellEnd"/>
            <w:r>
              <w:rPr>
                <w:rFonts w:cs="Times New Roman"/>
                <w:sz w:val="18"/>
              </w:rPr>
              <w:t xml:space="preserve"> et al. (2012)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12 </w:t>
            </w:r>
            <w:proofErr w:type="spellStart"/>
            <w:r>
              <w:rPr>
                <w:rFonts w:cs="Times New Roman"/>
                <w:sz w:val="18"/>
              </w:rPr>
              <w:t>Middle</w:t>
            </w:r>
            <w:proofErr w:type="spellEnd"/>
            <w:r>
              <w:rPr>
                <w:rFonts w:cs="Times New Roman"/>
                <w:sz w:val="18"/>
              </w:rPr>
              <w:t xml:space="preserve"> East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North </w:t>
            </w:r>
            <w:proofErr w:type="spellStart"/>
            <w:r>
              <w:rPr>
                <w:rFonts w:cs="Times New Roman"/>
                <w:sz w:val="18"/>
              </w:rPr>
              <w:t>Africa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1981-2005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increases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Sanglimsuwan</w:t>
            </w:r>
            <w:proofErr w:type="spellEnd"/>
            <w:r>
              <w:rPr>
                <w:rFonts w:cs="Times New Roman"/>
                <w:sz w:val="18"/>
              </w:rPr>
              <w:t xml:space="preserve"> (2011)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63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1990, 1995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Only</w:t>
            </w:r>
            <w:proofErr w:type="spellEnd"/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short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term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there</w:t>
            </w:r>
            <w:proofErr w:type="spellEnd"/>
            <w:r>
              <w:rPr>
                <w:rFonts w:cs="Times New Roman"/>
                <w:sz w:val="18"/>
              </w:rPr>
              <w:t xml:space="preserve"> is a </w:t>
            </w:r>
            <w:proofErr w:type="spellStart"/>
            <w:r>
              <w:rPr>
                <w:rFonts w:cs="Times New Roman"/>
                <w:sz w:val="18"/>
              </w:rPr>
              <w:t>inverted</w:t>
            </w:r>
            <w:proofErr w:type="spellEnd"/>
            <w:r>
              <w:rPr>
                <w:rFonts w:cs="Times New Roman"/>
                <w:sz w:val="18"/>
              </w:rPr>
              <w:t xml:space="preserve">-U </w:t>
            </w:r>
            <w:proofErr w:type="spellStart"/>
            <w:r>
              <w:rPr>
                <w:rFonts w:cs="Times New Roman"/>
                <w:sz w:val="18"/>
              </w:rPr>
              <w:t>shaped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relation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GDP.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lastRenderedPageBreak/>
              <w:t>Wang</w:t>
            </w:r>
            <w:proofErr w:type="spellEnd"/>
            <w:r>
              <w:rPr>
                <w:rFonts w:cs="Times New Roman"/>
                <w:sz w:val="18"/>
              </w:rPr>
              <w:t xml:space="preserve"> et al. (2011)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28 </w:t>
            </w:r>
            <w:proofErr w:type="spellStart"/>
            <w:r>
              <w:rPr>
                <w:rFonts w:cs="Times New Roman"/>
                <w:sz w:val="18"/>
              </w:rPr>
              <w:t>China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States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1995-2007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CO2, GDP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are</w:t>
            </w:r>
            <w:proofErr w:type="spellEnd"/>
            <w:r>
              <w:rPr>
                <w:rFonts w:cs="Times New Roman"/>
                <w:sz w:val="18"/>
              </w:rPr>
              <w:t xml:space="preserve"> cointegrated.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↔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↔ GDP</w:t>
            </w:r>
          </w:p>
        </w:tc>
      </w:tr>
      <w:tr w:rsidR="00F14252" w:rsidTr="00F14252">
        <w:trPr>
          <w:trHeight w:val="4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Lieter</w:t>
            </w:r>
            <w:proofErr w:type="spellEnd"/>
            <w:r>
              <w:rPr>
                <w:rFonts w:cs="Times New Roman"/>
                <w:sz w:val="18"/>
              </w:rPr>
              <w:t xml:space="preserve"> (2011)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EU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1998-2007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Environmental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regulations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investment</w:t>
            </w:r>
            <w:proofErr w:type="spellEnd"/>
            <w:r>
              <w:rPr>
                <w:rFonts w:cs="Times New Roman"/>
                <w:sz w:val="18"/>
              </w:rPr>
              <w:t xml:space="preserve"> on </w:t>
            </w:r>
            <w:proofErr w:type="spellStart"/>
            <w:r>
              <w:rPr>
                <w:rFonts w:cs="Times New Roman"/>
                <w:sz w:val="18"/>
              </w:rPr>
              <w:t>industry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4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Pao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Tsai</w:t>
            </w:r>
            <w:proofErr w:type="spellEnd"/>
            <w:r>
              <w:rPr>
                <w:rFonts w:cs="Times New Roman"/>
                <w:sz w:val="18"/>
              </w:rPr>
              <w:t xml:space="preserve"> (2011)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BRIC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1980-2007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Strong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relationship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FDI.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GDP→FDI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Choi</w:t>
            </w:r>
            <w:proofErr w:type="spellEnd"/>
            <w:r>
              <w:rPr>
                <w:rFonts w:cs="Times New Roman"/>
                <w:sz w:val="18"/>
              </w:rPr>
              <w:t xml:space="preserve"> et al. (2010)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China</w:t>
            </w:r>
            <w:proofErr w:type="spellEnd"/>
            <w:r>
              <w:rPr>
                <w:rFonts w:cs="Times New Roman"/>
                <w:sz w:val="18"/>
              </w:rPr>
              <w:t xml:space="preserve">, Japan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Korea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1971-2006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VAR, VEC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“N” </w:t>
            </w:r>
            <w:proofErr w:type="spellStart"/>
            <w:r>
              <w:rPr>
                <w:rFonts w:cs="Times New Roman"/>
                <w:sz w:val="18"/>
              </w:rPr>
              <w:t>shaped</w:t>
            </w:r>
            <w:proofErr w:type="spellEnd"/>
            <w:r>
              <w:rPr>
                <w:rFonts w:cs="Times New Roman"/>
                <w:sz w:val="18"/>
              </w:rPr>
              <w:t xml:space="preserve"> EKC </w:t>
            </w:r>
            <w:proofErr w:type="spellStart"/>
            <w:r>
              <w:rPr>
                <w:rFonts w:cs="Times New Roman"/>
                <w:sz w:val="18"/>
              </w:rPr>
              <w:t>for</w:t>
            </w:r>
            <w:proofErr w:type="spellEnd"/>
            <w:r>
              <w:rPr>
                <w:rFonts w:cs="Times New Roman"/>
                <w:sz w:val="18"/>
              </w:rPr>
              <w:t xml:space="preserve"> Japan.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Inverted</w:t>
            </w:r>
            <w:proofErr w:type="spellEnd"/>
            <w:r>
              <w:rPr>
                <w:rFonts w:cs="Times New Roman"/>
                <w:sz w:val="18"/>
              </w:rPr>
              <w:t xml:space="preserve">-U </w:t>
            </w:r>
            <w:proofErr w:type="spellStart"/>
            <w:r>
              <w:rPr>
                <w:rFonts w:cs="Times New Roman"/>
                <w:sz w:val="18"/>
              </w:rPr>
              <w:t>shaped</w:t>
            </w:r>
            <w:proofErr w:type="spellEnd"/>
            <w:r>
              <w:rPr>
                <w:rFonts w:cs="Times New Roman"/>
                <w:sz w:val="18"/>
              </w:rPr>
              <w:t xml:space="preserve"> EKC </w:t>
            </w:r>
            <w:proofErr w:type="spellStart"/>
            <w:r>
              <w:rPr>
                <w:rFonts w:cs="Times New Roman"/>
                <w:sz w:val="18"/>
              </w:rPr>
              <w:t>for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Korea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“N” </w:t>
            </w:r>
            <w:proofErr w:type="spellStart"/>
            <w:r>
              <w:rPr>
                <w:rFonts w:cs="Times New Roman"/>
                <w:sz w:val="18"/>
              </w:rPr>
              <w:t>shaped</w:t>
            </w:r>
            <w:proofErr w:type="spellEnd"/>
            <w:r>
              <w:rPr>
                <w:rFonts w:cs="Times New Roman"/>
                <w:sz w:val="18"/>
              </w:rPr>
              <w:t xml:space="preserve"> EKC </w:t>
            </w:r>
            <w:proofErr w:type="spellStart"/>
            <w:r>
              <w:rPr>
                <w:rFonts w:cs="Times New Roman"/>
                <w:sz w:val="18"/>
              </w:rPr>
              <w:t>for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China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Öztürk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Acaravcı</w:t>
            </w:r>
            <w:proofErr w:type="spellEnd"/>
            <w:r>
              <w:rPr>
                <w:rFonts w:cs="Times New Roman"/>
                <w:sz w:val="18"/>
              </w:rPr>
              <w:t xml:space="preserve"> (2010)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1968-2005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EKC </w:t>
            </w:r>
            <w:proofErr w:type="spellStart"/>
            <w:r>
              <w:rPr>
                <w:rFonts w:cs="Times New Roman"/>
                <w:sz w:val="18"/>
              </w:rPr>
              <w:t>hypothesis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4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Halıcıoğlu (2009)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1960-2005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Most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important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factor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that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determines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which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followed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foreign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trade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4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Jalil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Mahmud</w:t>
            </w:r>
            <w:proofErr w:type="spellEnd"/>
            <w:r>
              <w:rPr>
                <w:rFonts w:cs="Times New Roman"/>
                <w:sz w:val="18"/>
              </w:rPr>
              <w:t xml:space="preserve"> (2009)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China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1975-2005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Income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energy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consumption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important</w:t>
            </w:r>
            <w:proofErr w:type="spellEnd"/>
            <w:r>
              <w:rPr>
                <w:rFonts w:cs="Times New Roman"/>
                <w:sz w:val="18"/>
              </w:rPr>
              <w:t xml:space="preserve"> determinant </w:t>
            </w:r>
            <w:proofErr w:type="spellStart"/>
            <w:r>
              <w:rPr>
                <w:rFonts w:cs="Times New Roman"/>
                <w:sz w:val="18"/>
              </w:rPr>
              <w:t>to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increase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 xml:space="preserve">2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GDP →CO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bCs/>
                <w:sz w:val="18"/>
              </w:rPr>
              <w:t>Annicchiaricoet</w:t>
            </w:r>
            <w:proofErr w:type="spellEnd"/>
            <w:r>
              <w:rPr>
                <w:rFonts w:cs="Times New Roman"/>
                <w:bCs/>
                <w:sz w:val="18"/>
              </w:rPr>
              <w:t xml:space="preserve"> al. (2009)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İtaly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1861-2003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Cointegration VEC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↔ GDP </w:t>
            </w:r>
          </w:p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Azomahou</w:t>
            </w:r>
            <w:proofErr w:type="spellEnd"/>
            <w:r>
              <w:rPr>
                <w:rFonts w:cs="Times New Roman"/>
                <w:sz w:val="18"/>
              </w:rPr>
              <w:t xml:space="preserve"> (2006)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100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1960-1996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Non-Parametric</w:t>
            </w:r>
            <w:proofErr w:type="spellEnd"/>
            <w:r>
              <w:rPr>
                <w:rFonts w:cs="Times New Roman"/>
                <w:sz w:val="18"/>
              </w:rPr>
              <w:t xml:space="preserve"> Panel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Positive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relationship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economic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development</w:t>
            </w:r>
            <w:proofErr w:type="spellEnd"/>
            <w:r>
              <w:rPr>
                <w:rFonts w:cs="Times New Roman"/>
                <w:sz w:val="18"/>
              </w:rPr>
              <w:t xml:space="preserve"> ad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8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Merican</w:t>
            </w:r>
            <w:proofErr w:type="spellEnd"/>
            <w:r>
              <w:rPr>
                <w:rFonts w:cs="Times New Roman"/>
                <w:sz w:val="18"/>
              </w:rPr>
              <w:t xml:space="preserve"> et al. (2007)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ASEAN 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1970-2001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ARDL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114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FDI </w:t>
            </w:r>
            <w:proofErr w:type="spellStart"/>
            <w:r>
              <w:rPr>
                <w:rFonts w:cs="Times New Roman"/>
                <w:sz w:val="18"/>
              </w:rPr>
              <w:t>increases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 xml:space="preserve">2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Malaysia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Philippines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Thailand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however</w:t>
            </w:r>
            <w:proofErr w:type="spellEnd"/>
            <w:r>
              <w:rPr>
                <w:rFonts w:cs="Times New Roman"/>
                <w:sz w:val="18"/>
              </w:rPr>
              <w:t xml:space="preserve"> it has </w:t>
            </w:r>
            <w:proofErr w:type="spellStart"/>
            <w:r>
              <w:rPr>
                <w:rFonts w:cs="Times New Roman"/>
                <w:sz w:val="18"/>
              </w:rPr>
              <w:t>no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impact</w:t>
            </w:r>
            <w:proofErr w:type="spellEnd"/>
            <w:r>
              <w:rPr>
                <w:rFonts w:cs="Times New Roman"/>
                <w:sz w:val="18"/>
              </w:rPr>
              <w:t xml:space="preserve"> on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Indonesia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Singapore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4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Gökalp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Yıldırım (2004)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Turkey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1989-2001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Time Series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Pollution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Haven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Hypthesis</w:t>
            </w:r>
            <w:proofErr w:type="spellEnd"/>
            <w:r>
              <w:rPr>
                <w:rFonts w:cs="Times New Roman"/>
                <w:sz w:val="18"/>
              </w:rPr>
              <w:t xml:space="preserve"> is not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4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Egli</w:t>
            </w:r>
            <w:proofErr w:type="spellEnd"/>
            <w:r>
              <w:rPr>
                <w:rFonts w:cs="Times New Roman"/>
                <w:sz w:val="18"/>
              </w:rPr>
              <w:t xml:space="preserve"> (2004)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Germany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1966-1999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Causality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There</w:t>
            </w:r>
            <w:proofErr w:type="spellEnd"/>
            <w:r>
              <w:rPr>
                <w:rFonts w:cs="Times New Roman"/>
                <w:sz w:val="18"/>
              </w:rPr>
              <w:t xml:space="preserve"> is a </w:t>
            </w:r>
            <w:proofErr w:type="spellStart"/>
            <w:r>
              <w:rPr>
                <w:rFonts w:cs="Times New Roman"/>
                <w:sz w:val="18"/>
              </w:rPr>
              <w:t>relationship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which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similiar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with</w:t>
            </w:r>
            <w:proofErr w:type="spellEnd"/>
            <w:r>
              <w:rPr>
                <w:rFonts w:cs="Times New Roman"/>
                <w:sz w:val="18"/>
              </w:rPr>
              <w:t xml:space="preserve"> EKC </w:t>
            </w:r>
            <w:proofErr w:type="spellStart"/>
            <w:r>
              <w:rPr>
                <w:rFonts w:cs="Times New Roman"/>
                <w:sz w:val="18"/>
              </w:rPr>
              <w:t>hypothesis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between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NOx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NH</w:t>
            </w:r>
            <w:r>
              <w:rPr>
                <w:rFonts w:cs="Times New Roman"/>
                <w:sz w:val="18"/>
                <w:vertAlign w:val="subscript"/>
              </w:rPr>
              <w:t>4</w:t>
            </w:r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1091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Koop</w:t>
            </w:r>
            <w:proofErr w:type="spellEnd"/>
            <w:r>
              <w:rPr>
                <w:rFonts w:cs="Times New Roman"/>
                <w:sz w:val="18"/>
              </w:rPr>
              <w:t xml:space="preserve"> (1998)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44 </w:t>
            </w:r>
            <w:proofErr w:type="spellStart"/>
            <w:r>
              <w:rPr>
                <w:rFonts w:cs="Times New Roman"/>
                <w:sz w:val="18"/>
              </w:rPr>
              <w:t>Developed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Less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Developed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1970-1990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Panel Data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Rich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make</w:t>
            </w:r>
            <w:proofErr w:type="spellEnd"/>
            <w:r>
              <w:rPr>
                <w:rFonts w:cs="Times New Roman"/>
                <w:sz w:val="18"/>
              </w:rPr>
              <w:t xml:space="preserve"> a </w:t>
            </w:r>
            <w:proofErr w:type="spellStart"/>
            <w:r>
              <w:rPr>
                <w:rFonts w:cs="Times New Roman"/>
                <w:sz w:val="18"/>
              </w:rPr>
              <w:t>good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progress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decrease</w:t>
            </w:r>
            <w:proofErr w:type="spellEnd"/>
            <w:r>
              <w:rPr>
                <w:rFonts w:cs="Times New Roman"/>
                <w:sz w:val="18"/>
              </w:rPr>
              <w:t xml:space="preserve"> CO</w:t>
            </w:r>
            <w:r>
              <w:rPr>
                <w:rFonts w:cs="Times New Roman"/>
                <w:sz w:val="18"/>
                <w:vertAlign w:val="subscript"/>
              </w:rPr>
              <w:t>2</w:t>
            </w:r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emissions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technically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unlike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poor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  <w:tr w:rsidR="00F14252" w:rsidTr="00F14252">
        <w:trPr>
          <w:trHeight w:val="6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Grossman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Krueger</w:t>
            </w:r>
            <w:proofErr w:type="spellEnd"/>
            <w:r>
              <w:rPr>
                <w:rFonts w:cs="Times New Roman"/>
                <w:sz w:val="18"/>
              </w:rPr>
              <w:t xml:space="preserve"> (1991)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42 NAFTA </w:t>
            </w:r>
            <w:proofErr w:type="spellStart"/>
            <w:r>
              <w:rPr>
                <w:rFonts w:cs="Times New Roman"/>
                <w:sz w:val="18"/>
              </w:rPr>
              <w:t>Countries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1991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Cross-</w:t>
            </w:r>
            <w:proofErr w:type="spellStart"/>
            <w:r>
              <w:rPr>
                <w:rFonts w:cs="Times New Roman"/>
                <w:sz w:val="18"/>
              </w:rPr>
              <w:t>Section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578"/>
              </w:tabs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Inverted</w:t>
            </w:r>
            <w:proofErr w:type="spellEnd"/>
            <w:r>
              <w:rPr>
                <w:rFonts w:cs="Times New Roman"/>
                <w:sz w:val="18"/>
              </w:rPr>
              <w:t xml:space="preserve">-U </w:t>
            </w:r>
            <w:proofErr w:type="spellStart"/>
            <w:r>
              <w:rPr>
                <w:rFonts w:cs="Times New Roman"/>
                <w:sz w:val="18"/>
              </w:rPr>
              <w:t>shaped</w:t>
            </w:r>
            <w:proofErr w:type="spellEnd"/>
            <w:r>
              <w:rPr>
                <w:rFonts w:cs="Times New Roman"/>
                <w:sz w:val="18"/>
              </w:rPr>
              <w:t xml:space="preserve"> EKC </w:t>
            </w:r>
            <w:proofErr w:type="spellStart"/>
            <w:r>
              <w:rPr>
                <w:rFonts w:cs="Times New Roman"/>
                <w:sz w:val="18"/>
              </w:rPr>
              <w:t>Hypothesis</w:t>
            </w:r>
            <w:proofErr w:type="spellEnd"/>
            <w:r>
              <w:rPr>
                <w:rFonts w:cs="Times New Roman"/>
                <w:sz w:val="18"/>
              </w:rPr>
              <w:t xml:space="preserve"> is </w:t>
            </w:r>
            <w:proofErr w:type="spellStart"/>
            <w:r>
              <w:rPr>
                <w:rFonts w:cs="Times New Roman"/>
                <w:sz w:val="18"/>
              </w:rPr>
              <w:t>supported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</w:tbl>
    <w:p w:rsidR="00F14252" w:rsidRDefault="00F14252">
      <w:pPr>
        <w:rPr>
          <w:lang w:val="tr-TR"/>
        </w:rPr>
      </w:pPr>
    </w:p>
    <w:p w:rsidR="00F14252" w:rsidRDefault="00F14252" w:rsidP="00F14252">
      <w:pPr>
        <w:pStyle w:val="Balk2"/>
        <w:rPr>
          <w:rFonts w:cs="Times New Roman"/>
          <w:szCs w:val="22"/>
        </w:rPr>
      </w:pPr>
      <w:r>
        <w:rPr>
          <w:rFonts w:cs="Times New Roman"/>
          <w:sz w:val="20"/>
          <w:szCs w:val="22"/>
        </w:rPr>
        <w:t xml:space="preserve">TABLE 2: </w:t>
      </w:r>
      <w:proofErr w:type="spellStart"/>
      <w:r>
        <w:rPr>
          <w:rFonts w:cs="Times New Roman"/>
          <w:b w:val="0"/>
          <w:i/>
          <w:sz w:val="20"/>
          <w:szCs w:val="22"/>
        </w:rPr>
        <w:t>Variables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Used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in Analysis</w:t>
      </w:r>
    </w:p>
    <w:tbl>
      <w:tblPr>
        <w:tblStyle w:val="TabloKlavuzu"/>
        <w:tblW w:w="7419" w:type="dxa"/>
        <w:tblInd w:w="0" w:type="dxa"/>
        <w:tblLook w:val="04A0" w:firstRow="1" w:lastRow="0" w:firstColumn="1" w:lastColumn="0" w:noHBand="0" w:noVBand="1"/>
      </w:tblPr>
      <w:tblGrid>
        <w:gridCol w:w="2297"/>
        <w:gridCol w:w="1412"/>
        <w:gridCol w:w="1945"/>
        <w:gridCol w:w="1765"/>
      </w:tblGrid>
      <w:tr w:rsidR="00F14252" w:rsidTr="00F14252">
        <w:trPr>
          <w:trHeight w:val="30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Variables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Abbreviation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Explanation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Data Source</w:t>
            </w:r>
          </w:p>
        </w:tc>
      </w:tr>
      <w:tr w:rsidR="00F14252" w:rsidTr="00F14252">
        <w:trPr>
          <w:trHeight w:val="26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Per </w:t>
            </w:r>
            <w:proofErr w:type="spellStart"/>
            <w:r>
              <w:rPr>
                <w:rFonts w:cs="Times New Roman"/>
                <w:sz w:val="20"/>
              </w:rPr>
              <w:t>capita</w:t>
            </w:r>
            <w:proofErr w:type="spellEnd"/>
            <w:r>
              <w:rPr>
                <w:rFonts w:cs="Times New Roman"/>
                <w:sz w:val="20"/>
              </w:rPr>
              <w:t xml:space="preserve"> CO</w:t>
            </w:r>
            <w:r>
              <w:rPr>
                <w:rFonts w:cs="Times New Roman"/>
                <w:sz w:val="20"/>
                <w:vertAlign w:val="subscript"/>
              </w:rPr>
              <w:t xml:space="preserve">2 </w:t>
            </w:r>
            <w:proofErr w:type="spellStart"/>
            <w:r>
              <w:rPr>
                <w:rFonts w:cs="Times New Roman"/>
                <w:sz w:val="20"/>
              </w:rPr>
              <w:t>emissions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tabs>
                <w:tab w:val="left" w:pos="1365"/>
              </w:tabs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CO</w:t>
            </w:r>
            <w:r>
              <w:rPr>
                <w:rFonts w:cs="Times New Roman"/>
                <w:sz w:val="20"/>
                <w:vertAlign w:val="subscript"/>
              </w:rPr>
              <w:t>2</w:t>
            </w:r>
            <w:r>
              <w:rPr>
                <w:rFonts w:cs="Times New Roman"/>
                <w:sz w:val="20"/>
              </w:rPr>
              <w:tab/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Per </w:t>
            </w:r>
            <w:proofErr w:type="spellStart"/>
            <w:r>
              <w:rPr>
                <w:rFonts w:cs="Times New Roman"/>
                <w:sz w:val="20"/>
              </w:rPr>
              <w:t>cdapita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metric</w:t>
            </w:r>
            <w:proofErr w:type="spellEnd"/>
            <w:r>
              <w:rPr>
                <w:rFonts w:cs="Times New Roman"/>
                <w:sz w:val="20"/>
              </w:rPr>
              <w:t xml:space="preserve"> ton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BP Statistical Yearbook 2015</w:t>
            </w:r>
          </w:p>
        </w:tc>
      </w:tr>
      <w:tr w:rsidR="00F14252" w:rsidTr="00F14252">
        <w:trPr>
          <w:trHeight w:val="28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Per </w:t>
            </w:r>
            <w:proofErr w:type="spellStart"/>
            <w:r>
              <w:rPr>
                <w:rFonts w:cs="Times New Roman"/>
                <w:sz w:val="20"/>
              </w:rPr>
              <w:t>capita</w:t>
            </w:r>
            <w:proofErr w:type="spellEnd"/>
            <w:r>
              <w:rPr>
                <w:rFonts w:cs="Times New Roman"/>
                <w:sz w:val="20"/>
              </w:rPr>
              <w:t xml:space="preserve"> GDP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GDP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US </w:t>
            </w:r>
            <w:proofErr w:type="spellStart"/>
            <w:r>
              <w:rPr>
                <w:rFonts w:cs="Times New Roman"/>
                <w:sz w:val="20"/>
              </w:rPr>
              <w:t>Dollar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World Bank</w:t>
            </w:r>
          </w:p>
        </w:tc>
      </w:tr>
      <w:tr w:rsidR="00F14252" w:rsidTr="00F14252">
        <w:trPr>
          <w:trHeight w:val="28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Per </w:t>
            </w:r>
            <w:proofErr w:type="spellStart"/>
            <w:r>
              <w:rPr>
                <w:rFonts w:cs="Times New Roman"/>
                <w:sz w:val="20"/>
              </w:rPr>
              <w:t>capita</w:t>
            </w:r>
            <w:proofErr w:type="spellEnd"/>
            <w:r>
              <w:rPr>
                <w:rFonts w:cs="Times New Roman"/>
                <w:sz w:val="20"/>
              </w:rPr>
              <w:t xml:space="preserve"> FDI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FDI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US </w:t>
            </w:r>
            <w:proofErr w:type="spellStart"/>
            <w:r>
              <w:rPr>
                <w:rFonts w:cs="Times New Roman"/>
                <w:sz w:val="20"/>
              </w:rPr>
              <w:t>Dollar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UNCTAD</w:t>
            </w:r>
          </w:p>
        </w:tc>
      </w:tr>
      <w:tr w:rsidR="00F14252" w:rsidTr="00F14252">
        <w:trPr>
          <w:trHeight w:val="26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Per </w:t>
            </w:r>
            <w:proofErr w:type="spellStart"/>
            <w:r>
              <w:rPr>
                <w:rFonts w:cs="Times New Roman"/>
                <w:sz w:val="20"/>
              </w:rPr>
              <w:t>capita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energy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consumption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EC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Kg (</w:t>
            </w:r>
            <w:proofErr w:type="spellStart"/>
            <w:r>
              <w:rPr>
                <w:rFonts w:cs="Times New Roman"/>
                <w:sz w:val="20"/>
              </w:rPr>
              <w:t>oil</w:t>
            </w:r>
            <w:proofErr w:type="spellEnd"/>
            <w:r>
              <w:rPr>
                <w:rFonts w:cs="Times New Roman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</w:rPr>
              <w:t>equivalent</w:t>
            </w:r>
            <w:proofErr w:type="spellEnd"/>
            <w:r>
              <w:rPr>
                <w:rFonts w:cs="Times New Roman"/>
                <w:sz w:val="20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World Bank</w:t>
            </w:r>
          </w:p>
        </w:tc>
      </w:tr>
    </w:tbl>
    <w:p w:rsidR="00F14252" w:rsidRDefault="00F14252" w:rsidP="00F14252">
      <w:pPr>
        <w:spacing w:after="0" w:line="240" w:lineRule="auto"/>
        <w:ind w:firstLine="284"/>
        <w:rPr>
          <w:rFonts w:cs="Times New Roman"/>
          <w:lang w:val="tr-TR"/>
        </w:rPr>
      </w:pPr>
    </w:p>
    <w:p w:rsidR="00F14252" w:rsidRDefault="00F14252" w:rsidP="00F14252">
      <w:pPr>
        <w:pStyle w:val="Balk2"/>
        <w:rPr>
          <w:rFonts w:cs="Times New Roman"/>
          <w:b w:val="0"/>
          <w:i/>
          <w:szCs w:val="22"/>
        </w:rPr>
      </w:pPr>
      <w:r>
        <w:rPr>
          <w:rFonts w:cs="Times New Roman"/>
          <w:sz w:val="20"/>
          <w:szCs w:val="22"/>
        </w:rPr>
        <w:t>TABLE 3:</w:t>
      </w:r>
      <w:r>
        <w:rPr>
          <w:rFonts w:cs="Times New Roman"/>
          <w:b w:val="0"/>
          <w:i/>
          <w:sz w:val="20"/>
          <w:szCs w:val="22"/>
        </w:rPr>
        <w:t xml:space="preserve"> ADF </w:t>
      </w:r>
      <w:proofErr w:type="spellStart"/>
      <w:r>
        <w:rPr>
          <w:rFonts w:cs="Times New Roman"/>
          <w:b w:val="0"/>
          <w:i/>
          <w:sz w:val="20"/>
          <w:szCs w:val="22"/>
        </w:rPr>
        <w:t>and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PP </w:t>
      </w:r>
      <w:proofErr w:type="spellStart"/>
      <w:r>
        <w:rPr>
          <w:rFonts w:cs="Times New Roman"/>
          <w:b w:val="0"/>
          <w:i/>
          <w:sz w:val="20"/>
          <w:szCs w:val="22"/>
        </w:rPr>
        <w:t>Unit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Root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Test </w:t>
      </w:r>
      <w:proofErr w:type="spellStart"/>
      <w:r>
        <w:rPr>
          <w:rFonts w:cs="Times New Roman"/>
          <w:b w:val="0"/>
          <w:i/>
          <w:sz w:val="20"/>
          <w:szCs w:val="22"/>
        </w:rPr>
        <w:t>Results</w:t>
      </w:r>
      <w:proofErr w:type="spellEnd"/>
    </w:p>
    <w:tbl>
      <w:tblPr>
        <w:tblStyle w:val="TabloKlavuzu"/>
        <w:tblW w:w="7450" w:type="dxa"/>
        <w:tblInd w:w="0" w:type="dxa"/>
        <w:tblLook w:val="04A0" w:firstRow="1" w:lastRow="0" w:firstColumn="1" w:lastColumn="0" w:noHBand="0" w:noVBand="1"/>
      </w:tblPr>
      <w:tblGrid>
        <w:gridCol w:w="1081"/>
        <w:gridCol w:w="1077"/>
        <w:gridCol w:w="1201"/>
        <w:gridCol w:w="1323"/>
        <w:gridCol w:w="1315"/>
        <w:gridCol w:w="1453"/>
      </w:tblGrid>
      <w:tr w:rsidR="00F14252" w:rsidTr="00F14252">
        <w:trPr>
          <w:trHeight w:val="204"/>
        </w:trPr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proofErr w:type="spellStart"/>
            <w:r>
              <w:rPr>
                <w:rFonts w:cs="Times New Roman"/>
                <w:b/>
                <w:sz w:val="18"/>
              </w:rPr>
              <w:t>Variables</w:t>
            </w:r>
            <w:proofErr w:type="spellEnd"/>
            <w:r>
              <w:rPr>
                <w:rFonts w:cs="Times New Roman"/>
                <w:b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ADF </w:t>
            </w:r>
          </w:p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(Level)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      ADF</w:t>
            </w:r>
          </w:p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(First </w:t>
            </w:r>
            <w:proofErr w:type="spellStart"/>
            <w:r>
              <w:rPr>
                <w:rFonts w:cs="Times New Roman"/>
                <w:b/>
                <w:sz w:val="18"/>
              </w:rPr>
              <w:t>Difference</w:t>
            </w:r>
            <w:proofErr w:type="spellEnd"/>
            <w:r>
              <w:rPr>
                <w:rFonts w:cs="Times New Roman"/>
                <w:b/>
                <w:sz w:val="18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PP </w:t>
            </w:r>
          </w:p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(Level)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PP</w:t>
            </w:r>
          </w:p>
          <w:p w:rsidR="00F14252" w:rsidRDefault="00F14252">
            <w:pPr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(First </w:t>
            </w:r>
            <w:proofErr w:type="spellStart"/>
            <w:r>
              <w:rPr>
                <w:rFonts w:cs="Times New Roman"/>
                <w:b/>
                <w:sz w:val="18"/>
              </w:rPr>
              <w:t>Difference</w:t>
            </w:r>
            <w:proofErr w:type="spellEnd"/>
            <w:r>
              <w:rPr>
                <w:rFonts w:cs="Times New Roman"/>
                <w:b/>
                <w:sz w:val="18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8"/>
              </w:rPr>
            </w:pPr>
            <w:proofErr w:type="spellStart"/>
            <w:r>
              <w:rPr>
                <w:rFonts w:cs="Times New Roman"/>
                <w:b/>
                <w:sz w:val="18"/>
              </w:rPr>
              <w:t>Result</w:t>
            </w:r>
            <w:proofErr w:type="spellEnd"/>
          </w:p>
        </w:tc>
      </w:tr>
      <w:tr w:rsidR="00F14252" w:rsidTr="00F14252">
        <w:trPr>
          <w:trHeight w:val="204"/>
        </w:trPr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CO2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-1.40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-6.46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-1.21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-6.46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I(1)</w:t>
            </w:r>
          </w:p>
        </w:tc>
      </w:tr>
      <w:tr w:rsidR="00F14252" w:rsidTr="00F14252">
        <w:trPr>
          <w:trHeight w:val="20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GDP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3.23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3.32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-2.22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-6.69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I(1)</w:t>
            </w:r>
          </w:p>
        </w:tc>
      </w:tr>
      <w:tr w:rsidR="00F14252" w:rsidTr="00F14252">
        <w:trPr>
          <w:trHeight w:val="204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FDI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-1.59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-6.36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-1.62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-6.35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I(1)</w:t>
            </w:r>
          </w:p>
        </w:tc>
      </w:tr>
      <w:tr w:rsidR="00F14252" w:rsidTr="00F14252">
        <w:trPr>
          <w:trHeight w:val="204"/>
        </w:trPr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EC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-3.04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-3.26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-6.60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I(1)</w:t>
            </w:r>
          </w:p>
        </w:tc>
      </w:tr>
      <w:tr w:rsidR="00F14252" w:rsidTr="00F14252">
        <w:trPr>
          <w:trHeight w:val="204"/>
        </w:trPr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16"/>
              </w:rPr>
            </w:pPr>
            <w:r>
              <w:rPr>
                <w:rFonts w:cs="Times New Roman"/>
                <w:b/>
                <w:sz w:val="16"/>
              </w:rPr>
              <w:t>Critical Value (%1)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-4.18                        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-3.59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252" w:rsidRDefault="00F14252">
            <w:pPr>
              <w:rPr>
                <w:rFonts w:cs="Times New Roman"/>
                <w:sz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252" w:rsidRDefault="00F14252">
            <w:pPr>
              <w:rPr>
                <w:rFonts w:cs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252" w:rsidRDefault="00F14252">
            <w:pPr>
              <w:rPr>
                <w:rFonts w:cs="Times New Roman"/>
                <w:sz w:val="18"/>
              </w:rPr>
            </w:pPr>
          </w:p>
        </w:tc>
      </w:tr>
      <w:tr w:rsidR="00F14252" w:rsidTr="00F14252">
        <w:trPr>
          <w:trHeight w:val="529"/>
        </w:trPr>
        <w:tc>
          <w:tcPr>
            <w:tcW w:w="7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Note</w:t>
            </w:r>
            <w:proofErr w:type="spellEnd"/>
            <w:r>
              <w:rPr>
                <w:rFonts w:cs="Times New Roman"/>
                <w:sz w:val="18"/>
              </w:rPr>
              <w:t xml:space="preserve">: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value</w:t>
            </w:r>
            <w:proofErr w:type="spellEnd"/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parentheses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for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ADF test </w:t>
            </w:r>
            <w:proofErr w:type="spellStart"/>
            <w:r>
              <w:rPr>
                <w:rFonts w:cs="Times New Roman"/>
                <w:sz w:val="18"/>
              </w:rPr>
              <w:t>indicates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number</w:t>
            </w:r>
            <w:proofErr w:type="spellEnd"/>
            <w:r>
              <w:rPr>
                <w:rFonts w:cs="Times New Roman"/>
                <w:sz w:val="18"/>
              </w:rPr>
              <w:t xml:space="preserve"> of </w:t>
            </w:r>
            <w:proofErr w:type="spellStart"/>
            <w:r>
              <w:rPr>
                <w:rFonts w:cs="Times New Roman"/>
                <w:sz w:val="18"/>
              </w:rPr>
              <w:t>lag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length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according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to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SIC </w:t>
            </w:r>
            <w:proofErr w:type="spellStart"/>
            <w:r>
              <w:rPr>
                <w:rFonts w:cs="Times New Roman"/>
                <w:sz w:val="18"/>
              </w:rPr>
              <w:t>criterion</w:t>
            </w:r>
            <w:proofErr w:type="spellEnd"/>
            <w:r>
              <w:rPr>
                <w:rFonts w:cs="Times New Roman"/>
                <w:sz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maximum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lag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length</w:t>
            </w:r>
            <w:proofErr w:type="spellEnd"/>
            <w:r>
              <w:rPr>
                <w:rFonts w:cs="Times New Roman"/>
                <w:sz w:val="18"/>
              </w:rPr>
              <w:t xml:space="preserve"> is 9. At </w:t>
            </w:r>
            <w:proofErr w:type="spellStart"/>
            <w:r>
              <w:rPr>
                <w:rFonts w:cs="Times New Roman"/>
                <w:sz w:val="18"/>
              </w:rPr>
              <w:t>level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value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intercept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</w:rPr>
              <w:t>trend</w:t>
            </w:r>
            <w:proofErr w:type="gramEnd"/>
            <w:r>
              <w:rPr>
                <w:rFonts w:cs="Times New Roman"/>
                <w:sz w:val="18"/>
              </w:rPr>
              <w:t xml:space="preserve"> test format </w:t>
            </w:r>
            <w:proofErr w:type="spellStart"/>
            <w:r>
              <w:rPr>
                <w:rFonts w:cs="Times New Roman"/>
                <w:sz w:val="18"/>
              </w:rPr>
              <w:t>and</w:t>
            </w:r>
            <w:proofErr w:type="spellEnd"/>
            <w:r>
              <w:rPr>
                <w:rFonts w:cs="Times New Roman"/>
                <w:sz w:val="18"/>
              </w:rPr>
              <w:t xml:space="preserve"> at </w:t>
            </w:r>
            <w:proofErr w:type="spellStart"/>
            <w:r>
              <w:rPr>
                <w:rFonts w:cs="Times New Roman"/>
                <w:sz w:val="18"/>
              </w:rPr>
              <w:t>first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difference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value</w:t>
            </w:r>
            <w:proofErr w:type="spellEnd"/>
            <w:r>
              <w:rPr>
                <w:rFonts w:cs="Times New Roman"/>
                <w:sz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</w:rPr>
              <w:t>intercept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regression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equations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are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used</w:t>
            </w:r>
            <w:proofErr w:type="spellEnd"/>
            <w:r>
              <w:rPr>
                <w:rFonts w:cs="Times New Roman"/>
                <w:sz w:val="18"/>
              </w:rPr>
              <w:t>.</w:t>
            </w:r>
          </w:p>
        </w:tc>
      </w:tr>
    </w:tbl>
    <w:p w:rsidR="00F14252" w:rsidRDefault="00F14252">
      <w:pPr>
        <w:rPr>
          <w:lang w:val="tr-TR"/>
        </w:rPr>
      </w:pPr>
    </w:p>
    <w:p w:rsidR="00F14252" w:rsidRDefault="00F14252">
      <w:pPr>
        <w:rPr>
          <w:lang w:val="tr-TR"/>
        </w:rPr>
      </w:pPr>
    </w:p>
    <w:p w:rsidR="00F14252" w:rsidRDefault="00F14252">
      <w:pPr>
        <w:rPr>
          <w:lang w:val="tr-TR"/>
        </w:rPr>
      </w:pPr>
    </w:p>
    <w:p w:rsidR="00F14252" w:rsidRDefault="00F14252" w:rsidP="00F14252">
      <w:pPr>
        <w:pStyle w:val="Balk2"/>
        <w:pBdr>
          <w:bottom w:val="single" w:sz="4" w:space="1" w:color="auto"/>
        </w:pBdr>
        <w:rPr>
          <w:rFonts w:cs="Times New Roman"/>
          <w:b w:val="0"/>
          <w:i/>
          <w:sz w:val="20"/>
          <w:szCs w:val="22"/>
        </w:rPr>
      </w:pPr>
      <w:r>
        <w:rPr>
          <w:rFonts w:cs="Times New Roman"/>
          <w:sz w:val="20"/>
          <w:szCs w:val="22"/>
        </w:rPr>
        <w:t xml:space="preserve">TABLE 4: </w:t>
      </w:r>
      <w:proofErr w:type="spellStart"/>
      <w:r>
        <w:rPr>
          <w:rFonts w:cs="Times New Roman"/>
          <w:b w:val="0"/>
          <w:i/>
          <w:sz w:val="20"/>
          <w:szCs w:val="22"/>
        </w:rPr>
        <w:t>Determination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of </w:t>
      </w:r>
      <w:proofErr w:type="spellStart"/>
      <w:r>
        <w:rPr>
          <w:rFonts w:cs="Times New Roman"/>
          <w:b w:val="0"/>
          <w:i/>
          <w:sz w:val="20"/>
          <w:szCs w:val="22"/>
        </w:rPr>
        <w:t>the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Optimal </w:t>
      </w:r>
      <w:proofErr w:type="spellStart"/>
      <w:r>
        <w:rPr>
          <w:rFonts w:cs="Times New Roman"/>
          <w:b w:val="0"/>
          <w:i/>
          <w:sz w:val="20"/>
          <w:szCs w:val="22"/>
        </w:rPr>
        <w:t>Lag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Length</w:t>
      </w:r>
      <w:proofErr w:type="spellEnd"/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124"/>
        <w:gridCol w:w="2124"/>
        <w:gridCol w:w="2137"/>
      </w:tblGrid>
      <w:tr w:rsidR="00F14252" w:rsidTr="00F14252">
        <w:trPr>
          <w:trHeight w:val="65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AIC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SBC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B-G Testi</w:t>
            </w:r>
          </w:p>
        </w:tc>
      </w:tr>
      <w:tr w:rsidR="00F14252" w:rsidTr="00F14252">
        <w:trPr>
          <w:trHeight w:val="218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6.22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6.54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0.05</w:t>
            </w:r>
          </w:p>
        </w:tc>
      </w:tr>
      <w:tr w:rsidR="00F14252" w:rsidTr="00F14252">
        <w:trPr>
          <w:trHeight w:val="176"/>
        </w:trPr>
        <w:tc>
          <w:tcPr>
            <w:tcW w:w="2093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124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6.20</w:t>
            </w:r>
          </w:p>
        </w:tc>
        <w:tc>
          <w:tcPr>
            <w:tcW w:w="2124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6.70</w:t>
            </w:r>
          </w:p>
        </w:tc>
        <w:tc>
          <w:tcPr>
            <w:tcW w:w="2135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0.02</w:t>
            </w:r>
          </w:p>
        </w:tc>
      </w:tr>
      <w:tr w:rsidR="00F14252" w:rsidTr="00F14252">
        <w:trPr>
          <w:trHeight w:val="65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5.86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6.52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0.01</w:t>
            </w:r>
          </w:p>
        </w:tc>
      </w:tr>
      <w:tr w:rsidR="00F14252" w:rsidTr="00F14252">
        <w:trPr>
          <w:trHeight w:val="144"/>
        </w:trPr>
        <w:tc>
          <w:tcPr>
            <w:tcW w:w="8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 xml:space="preserve">*, P </w:t>
            </w:r>
            <w:proofErr w:type="spellStart"/>
            <w:r>
              <w:rPr>
                <w:rFonts w:cs="Times New Roman"/>
                <w:sz w:val="16"/>
              </w:rPr>
              <w:t>represents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lag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length</w:t>
            </w:r>
            <w:proofErr w:type="spellEnd"/>
            <w:r>
              <w:rPr>
                <w:rFonts w:cs="Times New Roman"/>
                <w:sz w:val="16"/>
              </w:rPr>
              <w:t xml:space="preserve">, AIC </w:t>
            </w:r>
            <w:proofErr w:type="spellStart"/>
            <w:r>
              <w:rPr>
                <w:rFonts w:cs="Times New Roman"/>
                <w:sz w:val="16"/>
              </w:rPr>
              <w:t>represents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Akaike</w:t>
            </w:r>
            <w:proofErr w:type="spellEnd"/>
            <w:r>
              <w:rPr>
                <w:rFonts w:cs="Times New Roman"/>
                <w:sz w:val="16"/>
              </w:rPr>
              <w:t xml:space="preserve"> Information </w:t>
            </w:r>
            <w:proofErr w:type="spellStart"/>
            <w:r>
              <w:rPr>
                <w:rFonts w:cs="Times New Roman"/>
                <w:sz w:val="16"/>
              </w:rPr>
              <w:t>Criterion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and</w:t>
            </w:r>
            <w:proofErr w:type="spellEnd"/>
            <w:r>
              <w:rPr>
                <w:rFonts w:cs="Times New Roman"/>
                <w:sz w:val="16"/>
              </w:rPr>
              <w:t xml:space="preserve"> SBC </w:t>
            </w:r>
            <w:proofErr w:type="spellStart"/>
            <w:r>
              <w:rPr>
                <w:rFonts w:cs="Times New Roman"/>
                <w:sz w:val="16"/>
              </w:rPr>
              <w:t>represents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Schwarz-Bayesian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information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criterion</w:t>
            </w:r>
            <w:proofErr w:type="spellEnd"/>
            <w:r>
              <w:rPr>
                <w:rFonts w:cs="Times New Roman"/>
                <w:sz w:val="16"/>
              </w:rPr>
              <w:t xml:space="preserve">. </w:t>
            </w:r>
          </w:p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16"/>
              </w:rPr>
              <w:t xml:space="preserve">**, B- G test </w:t>
            </w:r>
            <w:proofErr w:type="spellStart"/>
            <w:r>
              <w:rPr>
                <w:rFonts w:cs="Times New Roman"/>
                <w:sz w:val="16"/>
              </w:rPr>
              <w:t>expresses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probability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values</w:t>
            </w:r>
            <w:proofErr w:type="spellEnd"/>
            <w:r>
              <w:rPr>
                <w:rFonts w:cs="Times New Roman"/>
                <w:sz w:val="16"/>
              </w:rPr>
              <w:t xml:space="preserve"> of </w:t>
            </w:r>
            <w:proofErr w:type="spellStart"/>
            <w:r>
              <w:rPr>
                <w:rFonts w:cs="Times New Roman"/>
                <w:sz w:val="16"/>
              </w:rPr>
              <w:t>Breusch-Godfrey</w:t>
            </w:r>
            <w:proofErr w:type="spellEnd"/>
            <w:r>
              <w:rPr>
                <w:rFonts w:cs="Times New Roman"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</w:rPr>
              <w:t>Autocorrelation</w:t>
            </w:r>
            <w:proofErr w:type="spellEnd"/>
            <w:r>
              <w:rPr>
                <w:rFonts w:cs="Times New Roman"/>
                <w:sz w:val="16"/>
              </w:rPr>
              <w:t xml:space="preserve"> test.</w:t>
            </w:r>
          </w:p>
        </w:tc>
      </w:tr>
    </w:tbl>
    <w:p w:rsidR="00F14252" w:rsidRDefault="00F14252">
      <w:pPr>
        <w:rPr>
          <w:lang w:val="tr-TR"/>
        </w:rPr>
      </w:pPr>
    </w:p>
    <w:p w:rsidR="00F14252" w:rsidRDefault="00F14252" w:rsidP="00F14252">
      <w:pPr>
        <w:pStyle w:val="Balk2"/>
        <w:pBdr>
          <w:bottom w:val="single" w:sz="4" w:space="1" w:color="auto"/>
        </w:pBdr>
        <w:rPr>
          <w:rFonts w:cs="Times New Roman"/>
          <w:szCs w:val="22"/>
        </w:rPr>
      </w:pPr>
      <w:r>
        <w:rPr>
          <w:rFonts w:cs="Times New Roman"/>
          <w:sz w:val="20"/>
          <w:szCs w:val="22"/>
        </w:rPr>
        <w:t xml:space="preserve">TABLE 5: </w:t>
      </w:r>
      <w:proofErr w:type="spellStart"/>
      <w:r>
        <w:rPr>
          <w:rFonts w:cs="Times New Roman"/>
          <w:b w:val="0"/>
          <w:i/>
          <w:sz w:val="20"/>
          <w:szCs w:val="22"/>
        </w:rPr>
        <w:t>Bound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Testing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Results</w:t>
      </w:r>
      <w:proofErr w:type="spellEnd"/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216"/>
        <w:gridCol w:w="2168"/>
        <w:gridCol w:w="2171"/>
      </w:tblGrid>
      <w:tr w:rsidR="00F14252" w:rsidTr="00F14252">
        <w:trPr>
          <w:trHeight w:val="285"/>
        </w:trPr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gramStart"/>
            <w:r>
              <w:rPr>
                <w:rFonts w:cs="Times New Roman"/>
                <w:b/>
                <w:sz w:val="20"/>
              </w:rPr>
              <w:t>k</w:t>
            </w:r>
            <w:proofErr w:type="gramEnd"/>
            <w:r>
              <w:rPr>
                <w:rFonts w:cs="Times New Roman"/>
                <w:b/>
                <w:sz w:val="20"/>
                <w:vertAlign w:val="superscript"/>
              </w:rPr>
              <w:t>*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F </w:t>
            </w:r>
            <w:proofErr w:type="spellStart"/>
            <w:r>
              <w:rPr>
                <w:rFonts w:cs="Times New Roman"/>
                <w:b/>
                <w:sz w:val="20"/>
              </w:rPr>
              <w:t>Statistics</w:t>
            </w:r>
            <w:proofErr w:type="spellEnd"/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Lower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Bound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(%1)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Upper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</w:rPr>
              <w:t>Bound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(%1)</w:t>
            </w:r>
          </w:p>
        </w:tc>
      </w:tr>
      <w:tr w:rsidR="00F14252" w:rsidTr="00F14252">
        <w:trPr>
          <w:trHeight w:val="267"/>
        </w:trPr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8.72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 4.98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        6.42</w:t>
            </w:r>
          </w:p>
        </w:tc>
      </w:tr>
      <w:tr w:rsidR="00F14252" w:rsidTr="00F14252">
        <w:trPr>
          <w:trHeight w:val="239"/>
        </w:trPr>
        <w:tc>
          <w:tcPr>
            <w:tcW w:w="8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 xml:space="preserve">*k, </w:t>
            </w:r>
            <w:proofErr w:type="spellStart"/>
            <w:r>
              <w:rPr>
                <w:rFonts w:cs="Times New Roman"/>
                <w:sz w:val="18"/>
              </w:rPr>
              <w:t>represents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independent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variables</w:t>
            </w:r>
            <w:proofErr w:type="spellEnd"/>
            <w:r>
              <w:rPr>
                <w:rFonts w:cs="Times New Roman"/>
                <w:sz w:val="18"/>
              </w:rPr>
              <w:t xml:space="preserve"> in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equation</w:t>
            </w:r>
            <w:proofErr w:type="spellEnd"/>
            <w:r>
              <w:rPr>
                <w:rFonts w:cs="Times New Roman"/>
                <w:sz w:val="18"/>
              </w:rPr>
              <w:t xml:space="preserve">. Critical </w:t>
            </w:r>
            <w:proofErr w:type="spellStart"/>
            <w:r>
              <w:rPr>
                <w:rFonts w:cs="Times New Roman"/>
                <w:sz w:val="18"/>
              </w:rPr>
              <w:t>values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obtained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from</w:t>
            </w:r>
            <w:proofErr w:type="spellEnd"/>
            <w:r>
              <w:rPr>
                <w:rFonts w:cs="Times New Roman"/>
                <w:sz w:val="18"/>
              </w:rPr>
              <w:t xml:space="preserve"> Tablo CI(iii) in </w:t>
            </w:r>
            <w:proofErr w:type="spellStart"/>
            <w:r>
              <w:rPr>
                <w:rFonts w:cs="Times New Roman"/>
                <w:sz w:val="18"/>
              </w:rPr>
              <w:t>the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study</w:t>
            </w:r>
            <w:proofErr w:type="spellEnd"/>
            <w:r>
              <w:rPr>
                <w:rFonts w:cs="Times New Roman"/>
                <w:sz w:val="18"/>
              </w:rPr>
              <w:t xml:space="preserve"> of </w:t>
            </w:r>
            <w:proofErr w:type="spellStart"/>
            <w:r>
              <w:rPr>
                <w:rFonts w:cs="Times New Roman"/>
                <w:sz w:val="18"/>
              </w:rPr>
              <w:t>Narayan</w:t>
            </w:r>
            <w:proofErr w:type="spellEnd"/>
            <w:r>
              <w:rPr>
                <w:rFonts w:cs="Times New Roman"/>
                <w:sz w:val="18"/>
              </w:rPr>
              <w:t xml:space="preserve"> (2005). </w:t>
            </w:r>
          </w:p>
        </w:tc>
      </w:tr>
    </w:tbl>
    <w:p w:rsidR="00F14252" w:rsidRDefault="00F14252">
      <w:pPr>
        <w:rPr>
          <w:lang w:val="tr-TR"/>
        </w:rPr>
      </w:pPr>
    </w:p>
    <w:p w:rsidR="00F14252" w:rsidRDefault="00F14252" w:rsidP="00F14252">
      <w:pPr>
        <w:pStyle w:val="Balk2"/>
        <w:pBdr>
          <w:bottom w:val="single" w:sz="4" w:space="1" w:color="auto"/>
        </w:pBdr>
        <w:rPr>
          <w:rFonts w:cs="Times New Roman"/>
          <w:szCs w:val="22"/>
        </w:rPr>
      </w:pPr>
      <w:r>
        <w:rPr>
          <w:rFonts w:cs="Times New Roman"/>
          <w:sz w:val="20"/>
          <w:szCs w:val="22"/>
        </w:rPr>
        <w:t>TABLE 6</w:t>
      </w:r>
      <w:r>
        <w:rPr>
          <w:rFonts w:cs="Times New Roman"/>
          <w:szCs w:val="22"/>
        </w:rPr>
        <w:t xml:space="preserve">: </w:t>
      </w:r>
      <w:r>
        <w:rPr>
          <w:rFonts w:cs="Times New Roman"/>
          <w:b w:val="0"/>
          <w:i/>
          <w:sz w:val="20"/>
          <w:szCs w:val="22"/>
        </w:rPr>
        <w:t xml:space="preserve">ARDL Model </w:t>
      </w:r>
      <w:proofErr w:type="spellStart"/>
      <w:r>
        <w:rPr>
          <w:rFonts w:cs="Times New Roman"/>
          <w:b w:val="0"/>
          <w:i/>
          <w:sz w:val="20"/>
          <w:szCs w:val="22"/>
        </w:rPr>
        <w:t>Estimation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Results</w:t>
      </w:r>
      <w:proofErr w:type="spellEnd"/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2073"/>
        <w:gridCol w:w="2075"/>
        <w:gridCol w:w="2144"/>
      </w:tblGrid>
      <w:tr w:rsidR="00F14252" w:rsidTr="00F14252">
        <w:trPr>
          <w:trHeight w:val="285"/>
        </w:trPr>
        <w:tc>
          <w:tcPr>
            <w:tcW w:w="8582" w:type="dxa"/>
            <w:gridSpan w:val="4"/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Short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Term</w:t>
            </w:r>
            <w:proofErr w:type="spellEnd"/>
          </w:p>
        </w:tc>
      </w:tr>
      <w:tr w:rsidR="00F14252" w:rsidTr="00F14252">
        <w:trPr>
          <w:trHeight w:val="80"/>
        </w:trPr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Variables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Standart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T-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rasyo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prob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.)                                                                                                                 </w:t>
            </w:r>
          </w:p>
        </w:tc>
      </w:tr>
      <w:tr w:rsidR="00F14252" w:rsidTr="00F14252">
        <w:trPr>
          <w:trHeight w:val="267"/>
        </w:trPr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CO2(-1)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0.57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0.07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8.36  ( 0.00) </w:t>
            </w:r>
          </w:p>
        </w:tc>
      </w:tr>
      <w:tr w:rsidR="00F14252" w:rsidTr="00F14252">
        <w:trPr>
          <w:trHeight w:val="281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GDP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0.02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0.004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5.69  (0.00)</w:t>
            </w:r>
          </w:p>
        </w:tc>
      </w:tr>
      <w:tr w:rsidR="00F14252" w:rsidTr="00F14252">
        <w:trPr>
          <w:trHeight w:val="267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FDI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0.01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0.02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0.50  (0.62)</w:t>
            </w:r>
          </w:p>
        </w:tc>
      </w:tr>
      <w:tr w:rsidR="00F14252" w:rsidTr="00F14252">
        <w:trPr>
          <w:trHeight w:val="267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EC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2.97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0.67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4.44  (0.00)</w:t>
            </w:r>
          </w:p>
        </w:tc>
      </w:tr>
      <w:tr w:rsidR="00F14252" w:rsidTr="00F14252">
        <w:trPr>
          <w:trHeight w:val="93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E(-1)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-1.94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0.70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-2.81  (0.01)</w:t>
            </w:r>
          </w:p>
        </w:tc>
      </w:tr>
      <w:tr w:rsidR="00F14252" w:rsidTr="00F14252">
        <w:trPr>
          <w:trHeight w:val="84"/>
        </w:trPr>
        <w:tc>
          <w:tcPr>
            <w:tcW w:w="8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Long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Term</w:t>
            </w:r>
            <w:proofErr w:type="spellEnd"/>
          </w:p>
        </w:tc>
      </w:tr>
      <w:tr w:rsidR="00F14252" w:rsidTr="00F14252">
        <w:trPr>
          <w:trHeight w:val="267"/>
        </w:trPr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GDP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0.05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0.004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11.13  (0.00)</w:t>
            </w:r>
          </w:p>
        </w:tc>
      </w:tr>
      <w:tr w:rsidR="00F14252" w:rsidTr="00F14252">
        <w:trPr>
          <w:trHeight w:val="281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FDI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0.02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0.04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0.50  (0.62)</w:t>
            </w:r>
          </w:p>
        </w:tc>
      </w:tr>
      <w:tr w:rsidR="00F14252" w:rsidTr="00F14252">
        <w:trPr>
          <w:trHeight w:val="221"/>
        </w:trPr>
        <w:tc>
          <w:tcPr>
            <w:tcW w:w="2290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EC</w:t>
            </w:r>
          </w:p>
        </w:tc>
        <w:tc>
          <w:tcPr>
            <w:tcW w:w="207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2.41</w:t>
            </w:r>
          </w:p>
        </w:tc>
        <w:tc>
          <w:tcPr>
            <w:tcW w:w="2075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2143" w:type="dxa"/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2.86  ( 0.00)</w:t>
            </w:r>
          </w:p>
        </w:tc>
      </w:tr>
      <w:tr w:rsidR="00F14252" w:rsidTr="00F14252">
        <w:trPr>
          <w:trHeight w:val="220"/>
        </w:trPr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252" w:rsidRDefault="00F1425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Diagnostic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Test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Results</w:t>
            </w:r>
            <w:proofErr w:type="spellEnd"/>
          </w:p>
        </w:tc>
      </w:tr>
      <w:tr w:rsidR="00F14252" w:rsidTr="00F14252">
        <w:trPr>
          <w:trHeight w:val="267"/>
        </w:trPr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Normality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2.72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y</w:t>
            </w:r>
          </w:p>
        </w:tc>
      </w:tr>
      <w:tr w:rsidR="00F14252" w:rsidTr="00F14252">
        <w:trPr>
          <w:trHeight w:val="281"/>
        </w:trPr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Heteroscedasticity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0.66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Autocorrelation</w:t>
            </w:r>
            <w:proofErr w:type="spell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0.70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x</w:t>
            </w:r>
          </w:p>
        </w:tc>
      </w:tr>
    </w:tbl>
    <w:p w:rsidR="00F14252" w:rsidRDefault="00F14252" w:rsidP="00F14252">
      <w:pPr>
        <w:pBdr>
          <w:bottom w:val="single" w:sz="4" w:space="0" w:color="auto"/>
        </w:pBdr>
        <w:spacing w:after="0" w:line="240" w:lineRule="auto"/>
        <w:ind w:firstLine="284"/>
        <w:rPr>
          <w:rFonts w:cs="Times New Roman"/>
          <w:sz w:val="18"/>
          <w:lang w:val="tr-TR"/>
        </w:rPr>
      </w:pPr>
      <w:proofErr w:type="gramStart"/>
      <w:r>
        <w:rPr>
          <w:rFonts w:cs="Times New Roman"/>
          <w:sz w:val="18"/>
          <w:vertAlign w:val="superscript"/>
        </w:rPr>
        <w:t>x</w:t>
      </w:r>
      <w:proofErr w:type="gramEnd"/>
      <w:r>
        <w:rPr>
          <w:rFonts w:cs="Times New Roman"/>
          <w:sz w:val="18"/>
        </w:rPr>
        <w:t xml:space="preserve">, and </w:t>
      </w:r>
      <w:r>
        <w:rPr>
          <w:rFonts w:cs="Times New Roman"/>
          <w:sz w:val="18"/>
          <w:vertAlign w:val="superscript"/>
        </w:rPr>
        <w:t>y</w:t>
      </w:r>
      <w:r>
        <w:rPr>
          <w:rFonts w:cs="Times New Roman"/>
          <w:sz w:val="18"/>
        </w:rPr>
        <w:t xml:space="preserve">, represent  </w:t>
      </w:r>
      <w:proofErr w:type="spellStart"/>
      <w:r>
        <w:rPr>
          <w:rFonts w:cs="Times New Roman"/>
          <w:sz w:val="18"/>
        </w:rPr>
        <w:t>Breusch</w:t>
      </w:r>
      <w:proofErr w:type="spellEnd"/>
      <w:r>
        <w:rPr>
          <w:rFonts w:cs="Times New Roman"/>
          <w:sz w:val="18"/>
        </w:rPr>
        <w:t xml:space="preserve">-Godfrey LM test and </w:t>
      </w:r>
      <w:proofErr w:type="spellStart"/>
      <w:r>
        <w:rPr>
          <w:rFonts w:cs="Times New Roman"/>
          <w:sz w:val="18"/>
        </w:rPr>
        <w:t>Jarque</w:t>
      </w:r>
      <w:proofErr w:type="spellEnd"/>
      <w:r>
        <w:rPr>
          <w:rFonts w:cs="Times New Roman"/>
          <w:sz w:val="18"/>
        </w:rPr>
        <w:t xml:space="preserve">- </w:t>
      </w:r>
      <w:proofErr w:type="spellStart"/>
      <w:r>
        <w:rPr>
          <w:rFonts w:cs="Times New Roman"/>
          <w:sz w:val="18"/>
        </w:rPr>
        <w:t>Bera</w:t>
      </w:r>
      <w:proofErr w:type="spellEnd"/>
      <w:r>
        <w:rPr>
          <w:rFonts w:cs="Times New Roman"/>
          <w:sz w:val="18"/>
        </w:rPr>
        <w:t xml:space="preserve"> Normality Test, respectively. *, shows </w:t>
      </w:r>
      <w:proofErr w:type="spellStart"/>
      <w:r>
        <w:rPr>
          <w:rFonts w:cs="Times New Roman"/>
          <w:sz w:val="18"/>
        </w:rPr>
        <w:t>significancy</w:t>
      </w:r>
      <w:proofErr w:type="spellEnd"/>
      <w:r>
        <w:rPr>
          <w:rFonts w:cs="Times New Roman"/>
          <w:sz w:val="18"/>
        </w:rPr>
        <w:t xml:space="preserve"> at 5% significance level.</w:t>
      </w:r>
    </w:p>
    <w:p w:rsidR="00F14252" w:rsidRDefault="00F14252">
      <w:pPr>
        <w:rPr>
          <w:lang w:val="tr-TR"/>
        </w:rPr>
      </w:pPr>
    </w:p>
    <w:p w:rsidR="00F14252" w:rsidRDefault="00F14252" w:rsidP="00F14252">
      <w:pPr>
        <w:spacing w:after="0" w:line="240" w:lineRule="auto"/>
        <w:ind w:firstLine="284"/>
        <w:rPr>
          <w:rFonts w:cs="Times New Roman"/>
        </w:rPr>
      </w:pPr>
    </w:p>
    <w:p w:rsidR="00F14252" w:rsidRDefault="00F14252" w:rsidP="00F14252">
      <w:pPr>
        <w:pStyle w:val="Balk2"/>
        <w:pBdr>
          <w:bottom w:val="single" w:sz="4" w:space="1" w:color="auto"/>
        </w:pBdr>
        <w:rPr>
          <w:rFonts w:cs="Times New Roman"/>
          <w:szCs w:val="22"/>
        </w:rPr>
      </w:pPr>
      <w:r>
        <w:rPr>
          <w:rFonts w:cs="Times New Roman"/>
          <w:sz w:val="20"/>
          <w:szCs w:val="22"/>
        </w:rPr>
        <w:t xml:space="preserve">TABLE 7: </w:t>
      </w:r>
      <w:r>
        <w:rPr>
          <w:rFonts w:cs="Times New Roman"/>
          <w:b w:val="0"/>
          <w:i/>
          <w:sz w:val="20"/>
          <w:szCs w:val="22"/>
        </w:rPr>
        <w:t xml:space="preserve">ARDL </w:t>
      </w:r>
      <w:proofErr w:type="spellStart"/>
      <w:r>
        <w:rPr>
          <w:rFonts w:cs="Times New Roman"/>
          <w:b w:val="0"/>
          <w:i/>
          <w:sz w:val="20"/>
          <w:szCs w:val="22"/>
        </w:rPr>
        <w:t>Error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Correction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Model </w:t>
      </w:r>
      <w:proofErr w:type="spellStart"/>
      <w:r>
        <w:rPr>
          <w:rFonts w:cs="Times New Roman"/>
          <w:b w:val="0"/>
          <w:i/>
          <w:sz w:val="20"/>
          <w:szCs w:val="22"/>
        </w:rPr>
        <w:t>Estimation</w:t>
      </w:r>
      <w:proofErr w:type="spellEnd"/>
      <w:r>
        <w:rPr>
          <w:rFonts w:cs="Times New Roman"/>
          <w:b w:val="0"/>
          <w:i/>
          <w:sz w:val="20"/>
          <w:szCs w:val="22"/>
        </w:rPr>
        <w:t xml:space="preserve"> </w:t>
      </w:r>
      <w:proofErr w:type="spellStart"/>
      <w:r>
        <w:rPr>
          <w:rFonts w:cs="Times New Roman"/>
          <w:b w:val="0"/>
          <w:i/>
          <w:sz w:val="20"/>
          <w:szCs w:val="22"/>
        </w:rPr>
        <w:t>Results</w:t>
      </w:r>
      <w:proofErr w:type="spellEnd"/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5"/>
        <w:gridCol w:w="1861"/>
        <w:gridCol w:w="1769"/>
        <w:gridCol w:w="1848"/>
      </w:tblGrid>
      <w:tr w:rsidR="00F14252" w:rsidTr="00F14252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Variables</w:t>
            </w:r>
            <w:proofErr w:type="spell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proofErr w:type="spellStart"/>
            <w:r>
              <w:rPr>
                <w:rFonts w:cs="Times New Roman"/>
                <w:b/>
                <w:sz w:val="20"/>
              </w:rPr>
              <w:t>Coefficient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Standart </w:t>
            </w:r>
            <w:proofErr w:type="spellStart"/>
            <w:r>
              <w:rPr>
                <w:rFonts w:cs="Times New Roman"/>
                <w:b/>
                <w:sz w:val="20"/>
              </w:rPr>
              <w:t>Error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T-</w:t>
            </w:r>
            <w:proofErr w:type="spellStart"/>
            <w:r>
              <w:rPr>
                <w:rFonts w:cs="Times New Roman"/>
                <w:b/>
                <w:sz w:val="20"/>
              </w:rPr>
              <w:t>rasyo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cs="Times New Roman"/>
                <w:b/>
                <w:sz w:val="20"/>
              </w:rPr>
              <w:t>prob</w:t>
            </w:r>
            <w:proofErr w:type="spellEnd"/>
            <w:r>
              <w:rPr>
                <w:rFonts w:cs="Times New Roman"/>
                <w:b/>
                <w:sz w:val="20"/>
              </w:rPr>
              <w:t xml:space="preserve">.)                                                                                                                 </w:t>
            </w:r>
          </w:p>
        </w:tc>
      </w:tr>
      <w:tr w:rsidR="00F14252" w:rsidTr="00F14252">
        <w:trPr>
          <w:trHeight w:val="318"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tabs>
                <w:tab w:val="left" w:pos="1200"/>
              </w:tabs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∆ GDP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0.03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0.004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6.90 (0.00)</w:t>
            </w:r>
          </w:p>
        </w:tc>
      </w:tr>
      <w:tr w:rsidR="00F14252" w:rsidTr="00F14252">
        <w:trPr>
          <w:trHeight w:val="300"/>
        </w:trPr>
        <w:tc>
          <w:tcPr>
            <w:tcW w:w="2015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∆ FDI</w:t>
            </w:r>
          </w:p>
        </w:tc>
        <w:tc>
          <w:tcPr>
            <w:tcW w:w="1861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-0.03</w:t>
            </w:r>
          </w:p>
        </w:tc>
        <w:tc>
          <w:tcPr>
            <w:tcW w:w="1769" w:type="dxa"/>
            <w:hideMark/>
          </w:tcPr>
          <w:p w:rsidR="00F14252" w:rsidRDefault="00F14252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0.02</w:t>
            </w:r>
          </w:p>
        </w:tc>
        <w:tc>
          <w:tcPr>
            <w:tcW w:w="1848" w:type="dxa"/>
            <w:hideMark/>
          </w:tcPr>
          <w:p w:rsidR="00F14252" w:rsidRDefault="00F14252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-1.40 (0.17)</w:t>
            </w:r>
          </w:p>
        </w:tc>
      </w:tr>
      <w:tr w:rsidR="00F14252" w:rsidTr="00F14252">
        <w:trPr>
          <w:trHeight w:val="300"/>
        </w:trPr>
        <w:tc>
          <w:tcPr>
            <w:tcW w:w="2015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∆ EC</w:t>
            </w:r>
          </w:p>
        </w:tc>
        <w:tc>
          <w:tcPr>
            <w:tcW w:w="1861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3.09</w:t>
            </w:r>
          </w:p>
        </w:tc>
        <w:tc>
          <w:tcPr>
            <w:tcW w:w="1769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0.60</w:t>
            </w:r>
          </w:p>
        </w:tc>
        <w:tc>
          <w:tcPr>
            <w:tcW w:w="1848" w:type="dxa"/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 5.12 (0.00)</w:t>
            </w:r>
          </w:p>
        </w:tc>
      </w:tr>
      <w:tr w:rsidR="00F14252" w:rsidTr="00F14252">
        <w:trPr>
          <w:trHeight w:val="333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EC(-1)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-0.43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0.08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252" w:rsidRDefault="00F14252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-5.55 (0.00)</w:t>
            </w:r>
          </w:p>
        </w:tc>
      </w:tr>
    </w:tbl>
    <w:p w:rsidR="00F14252" w:rsidRDefault="00F14252">
      <w:pPr>
        <w:rPr>
          <w:lang w:val="tr-TR"/>
        </w:rPr>
      </w:pPr>
    </w:p>
    <w:p w:rsidR="00F14252" w:rsidRDefault="00F14252">
      <w:pPr>
        <w:rPr>
          <w:lang w:val="tr-TR"/>
        </w:rPr>
      </w:pPr>
    </w:p>
    <w:p w:rsidR="00F14252" w:rsidRDefault="00F14252">
      <w:pPr>
        <w:rPr>
          <w:b/>
          <w:sz w:val="32"/>
          <w:lang w:val="tr-TR"/>
        </w:rPr>
      </w:pPr>
      <w:r w:rsidRPr="00F14252">
        <w:rPr>
          <w:b/>
          <w:sz w:val="32"/>
          <w:lang w:val="tr-TR"/>
        </w:rPr>
        <w:t>DATA</w:t>
      </w:r>
    </w:p>
    <w:p w:rsidR="00F14252" w:rsidRDefault="00F14252">
      <w:pPr>
        <w:rPr>
          <w:b/>
          <w:sz w:val="32"/>
          <w:lang w:val="tr-TR"/>
        </w:rPr>
      </w:pPr>
      <w:bookmarkStart w:id="0" w:name="_GoBack"/>
      <w:bookmarkEnd w:id="0"/>
    </w:p>
    <w:tbl>
      <w:tblPr>
        <w:tblW w:w="8927" w:type="dxa"/>
        <w:tblLook w:val="04A0" w:firstRow="1" w:lastRow="0" w:firstColumn="1" w:lastColumn="0" w:noHBand="0" w:noVBand="1"/>
      </w:tblPr>
      <w:tblGrid>
        <w:gridCol w:w="1689"/>
        <w:gridCol w:w="1849"/>
        <w:gridCol w:w="1689"/>
        <w:gridCol w:w="1850"/>
        <w:gridCol w:w="1850"/>
      </w:tblGrid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Year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4252">
              <w:rPr>
                <w:rFonts w:ascii="Calibri" w:eastAsia="Times New Roman" w:hAnsi="Calibri" w:cs="Times New Roman"/>
                <w:color w:val="000000"/>
              </w:rPr>
              <w:t>fdi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co2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4252">
              <w:rPr>
                <w:rFonts w:ascii="Calibri" w:eastAsia="Times New Roman" w:hAnsi="Calibri" w:cs="Times New Roman"/>
                <w:color w:val="000000"/>
              </w:rPr>
              <w:t>gdp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ec2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1,668007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42,1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3137,051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65,65403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1,263758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46,3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3233,926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68,99165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1,178878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51,1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3391,467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70,28143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2,114169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58,9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3418,549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72,39129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1,67221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61,3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3524,367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72,57193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2,909229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64,6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3689,209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72,37633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0,249372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71,7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3982,153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73,1049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0,658212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76,4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4025,506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74,85099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0,810429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3995,148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73,6975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1979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1,747749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71,4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3881,465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70,98887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0,409969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73,4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3700,797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71,91817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2,114079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75,8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3791,496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71,59577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1,195706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82,5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3836,015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72,17233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0,977214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84,9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3934,777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73,87616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2,347409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92,0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4105,933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74,38064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2,013092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99,1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4189,576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76,59234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2,490689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109,0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4393,212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77,98248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2,247487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121,0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4717,646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78,86663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6,791289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124,0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4738,447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77,03619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1989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12,49392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130,2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4668,016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79,78316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12,66793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138,6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5012,894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81,80089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14,75108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144,5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4964,875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81,41887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15,12134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149,0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5130,641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81,3742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11,21435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155,7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5435,901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81,38847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10,55309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153,2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5101,068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81,61679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15,12244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167,0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5417,041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82,59588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12,14619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183,1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5725,889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83,23558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1997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13,3339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196,7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6063,638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83,78303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15,33237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199,9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6107,451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83,64275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1999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12,57957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196,7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5811,841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84,56266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15,54425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216,6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6112,877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86,30128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52,29305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200,4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5679,942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86,12402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16,64044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208,9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5942,725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86,08868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25,81202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222,8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6167,146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87,0572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41,66315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230,3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6652,576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86,70592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148,0742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241,1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7117,233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88,05964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294,1291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270,5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7514,389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89,00397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317,2389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295,9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7773,471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90,49675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282,1207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294,9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7732,488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90,57388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120,5063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297,6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7264,632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89,89939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125,9538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304,5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7814,801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88,98548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220,8637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324,1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8397,143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89,89722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179,507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337,2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8471,642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89,35932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164,9081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324,7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8719,621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87,35264</w:t>
            </w:r>
          </w:p>
        </w:tc>
      </w:tr>
      <w:tr w:rsidR="00F14252" w:rsidRPr="00F14252" w:rsidTr="00F14252">
        <w:trPr>
          <w:trHeight w:val="258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4252">
              <w:rPr>
                <w:rFonts w:ascii="Arial" w:eastAsia="Times New Roman" w:hAnsi="Arial" w:cs="Arial"/>
                <w:sz w:val="20"/>
                <w:szCs w:val="20"/>
              </w:rPr>
              <w:t>160,1592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425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348,5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8864,743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252" w:rsidRPr="00F14252" w:rsidRDefault="00F14252" w:rsidP="00F14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4252">
              <w:rPr>
                <w:rFonts w:ascii="Calibri" w:eastAsia="Times New Roman" w:hAnsi="Calibri" w:cs="Times New Roman"/>
                <w:color w:val="000000"/>
              </w:rPr>
              <w:t>90,16574</w:t>
            </w:r>
          </w:p>
        </w:tc>
      </w:tr>
    </w:tbl>
    <w:p w:rsidR="00F14252" w:rsidRPr="00F14252" w:rsidRDefault="00F14252">
      <w:pPr>
        <w:rPr>
          <w:b/>
          <w:sz w:val="32"/>
          <w:lang w:val="tr-TR"/>
        </w:rPr>
      </w:pPr>
    </w:p>
    <w:sectPr w:rsidR="00F14252" w:rsidRPr="00F1425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6C"/>
    <w:rsid w:val="008E31F7"/>
    <w:rsid w:val="00A8256F"/>
    <w:rsid w:val="00ED1C6C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206CE-3496-4735-B07E-11DDCC9F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14252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semiHidden/>
    <w:unhideWhenUsed/>
    <w:qFormat/>
    <w:rsid w:val="00F14252"/>
    <w:pPr>
      <w:spacing w:after="200" w:line="240" w:lineRule="auto"/>
      <w:jc w:val="both"/>
    </w:pPr>
    <w:rPr>
      <w:rFonts w:ascii="Times New Roman" w:hAnsi="Times New Roman"/>
      <w:b/>
      <w:bCs/>
      <w:color w:val="5B9BD5" w:themeColor="accent1"/>
      <w:sz w:val="18"/>
      <w:szCs w:val="18"/>
    </w:rPr>
  </w:style>
  <w:style w:type="table" w:styleId="TabloKlavuzu">
    <w:name w:val="Table Grid"/>
    <w:basedOn w:val="NormalTablo"/>
    <w:uiPriority w:val="59"/>
    <w:rsid w:val="00F14252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F14252"/>
    <w:rPr>
      <w:rFonts w:ascii="Times New Roman" w:eastAsiaTheme="majorEastAsia" w:hAnsi="Times New Roman" w:cstheme="majorBidi"/>
      <w:b/>
      <w:bCs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7525517643628"/>
          <c:y val="3.1746031746031744E-2"/>
          <c:w val="0.7250561388159813"/>
          <c:h val="0.868842644669416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Sütun1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294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2962962962962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62962962962963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8703703703703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71296296296296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10185185185185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064814814814814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111111111111111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180553732866725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430555555555555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3634259259259259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Sayfa1!$A$3:$A$13</c:f>
              <c:strCache>
                <c:ptCount val="11"/>
                <c:pt idx="0">
                  <c:v>Iran</c:v>
                </c:pt>
                <c:pt idx="1">
                  <c:v>Canada</c:v>
                </c:pt>
                <c:pt idx="2">
                  <c:v>Korea</c:v>
                </c:pt>
                <c:pt idx="3">
                  <c:v>Germany</c:v>
                </c:pt>
                <c:pt idx="4">
                  <c:v>Indonesia</c:v>
                </c:pt>
                <c:pt idx="5">
                  <c:v>Japan</c:v>
                </c:pt>
                <c:pt idx="6">
                  <c:v>Brazil</c:v>
                </c:pt>
                <c:pt idx="7">
                  <c:v>Russia</c:v>
                </c:pt>
                <c:pt idx="8">
                  <c:v>India</c:v>
                </c:pt>
                <c:pt idx="9">
                  <c:v>U.S</c:v>
                </c:pt>
                <c:pt idx="10">
                  <c:v>China</c:v>
                </c:pt>
              </c:strCache>
            </c:strRef>
          </c:cat>
          <c:val>
            <c:numRef>
              <c:f>Sayfa1!$B$3:$B$13</c:f>
              <c:numCache>
                <c:formatCode>General</c:formatCode>
                <c:ptCount val="11"/>
                <c:pt idx="0">
                  <c:v>1.63</c:v>
                </c:pt>
                <c:pt idx="1">
                  <c:v>1.67</c:v>
                </c:pt>
                <c:pt idx="2">
                  <c:v>1.78</c:v>
                </c:pt>
                <c:pt idx="3">
                  <c:v>2.23</c:v>
                </c:pt>
                <c:pt idx="4">
                  <c:v>1.32</c:v>
                </c:pt>
                <c:pt idx="5">
                  <c:v>3.84</c:v>
                </c:pt>
                <c:pt idx="6">
                  <c:v>1.41</c:v>
                </c:pt>
                <c:pt idx="7">
                  <c:v>4.79</c:v>
                </c:pt>
                <c:pt idx="8">
                  <c:v>5.81</c:v>
                </c:pt>
                <c:pt idx="9">
                  <c:v>15.9</c:v>
                </c:pt>
                <c:pt idx="10">
                  <c:v>28.03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2904032"/>
        <c:axId val="222904424"/>
      </c:barChart>
      <c:catAx>
        <c:axId val="2229040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22904424"/>
        <c:crosses val="autoZero"/>
        <c:auto val="1"/>
        <c:lblAlgn val="ctr"/>
        <c:lblOffset val="100"/>
        <c:noMultiLvlLbl val="0"/>
      </c:catAx>
      <c:valAx>
        <c:axId val="2229044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2904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Kişi Başına CO2 </c:v>
                </c:pt>
              </c:strCache>
            </c:strRef>
          </c:tx>
          <c:spPr>
            <a:solidFill>
              <a:schemeClr val="accent1"/>
            </a:solidFill>
            <a:ln w="7620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Sayfa1!$A$2:$A$12</c:f>
              <c:strCache>
                <c:ptCount val="11"/>
                <c:pt idx="0">
                  <c:v>Iran</c:v>
                </c:pt>
                <c:pt idx="1">
                  <c:v>Canada</c:v>
                </c:pt>
                <c:pt idx="2">
                  <c:v>South Korea</c:v>
                </c:pt>
                <c:pt idx="3">
                  <c:v>Germany</c:v>
                </c:pt>
                <c:pt idx="4">
                  <c:v>Indonesia</c:v>
                </c:pt>
                <c:pt idx="5">
                  <c:v>Japan</c:v>
                </c:pt>
                <c:pt idx="6">
                  <c:v>Brazil</c:v>
                </c:pt>
                <c:pt idx="7">
                  <c:v>Russia</c:v>
                </c:pt>
                <c:pt idx="8">
                  <c:v>India</c:v>
                </c:pt>
                <c:pt idx="9">
                  <c:v>U.S</c:v>
                </c:pt>
                <c:pt idx="10">
                  <c:v>China</c:v>
                </c:pt>
              </c:strCache>
            </c:strRef>
          </c:cat>
          <c:val>
            <c:numRef>
              <c:f>Sayfa1!$B$2:$B$12</c:f>
              <c:numCache>
                <c:formatCode>General</c:formatCode>
                <c:ptCount val="11"/>
                <c:pt idx="0">
                  <c:v>7.9</c:v>
                </c:pt>
                <c:pt idx="1">
                  <c:v>16</c:v>
                </c:pt>
                <c:pt idx="2">
                  <c:v>12</c:v>
                </c:pt>
                <c:pt idx="3">
                  <c:v>9.8000000000000007</c:v>
                </c:pt>
                <c:pt idx="4">
                  <c:v>2.5</c:v>
                </c:pt>
                <c:pt idx="5">
                  <c:v>9.6999999999999993</c:v>
                </c:pt>
                <c:pt idx="6">
                  <c:v>2.5</c:v>
                </c:pt>
                <c:pt idx="7">
                  <c:v>11</c:v>
                </c:pt>
                <c:pt idx="8">
                  <c:v>2</c:v>
                </c:pt>
                <c:pt idx="9">
                  <c:v>17</c:v>
                </c:pt>
                <c:pt idx="10">
                  <c:v>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22979720"/>
        <c:axId val="222980112"/>
      </c:barChart>
      <c:catAx>
        <c:axId val="222979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2980112"/>
        <c:crosses val="autoZero"/>
        <c:auto val="1"/>
        <c:lblAlgn val="ctr"/>
        <c:lblOffset val="100"/>
        <c:noMultiLvlLbl val="0"/>
      </c:catAx>
      <c:valAx>
        <c:axId val="222980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297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29429133858267"/>
          <c:y val="4.3650793650793648E-2"/>
          <c:w val="0.81288261183509269"/>
          <c:h val="0.73510498687664039"/>
        </c:manualLayout>
      </c:layout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World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Sayfa1!$A$2:$A$45</c:f>
              <c:strCache>
                <c:ptCount val="44"/>
                <c:pt idx="1">
                  <c:v>1971,00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strCache>
            </c:strRef>
          </c:cat>
          <c:val>
            <c:numRef>
              <c:f>Sayfa1!$B$2:$B$45</c:f>
              <c:numCache>
                <c:formatCode>0.00</c:formatCode>
                <c:ptCount val="44"/>
                <c:pt idx="0">
                  <c:v>13345694.650168199</c:v>
                </c:pt>
                <c:pt idx="1">
                  <c:v>14281947.2883865</c:v>
                </c:pt>
                <c:pt idx="2">
                  <c:v>14932710.6576655</c:v>
                </c:pt>
                <c:pt idx="3">
                  <c:v>20646211.816949699</c:v>
                </c:pt>
                <c:pt idx="4">
                  <c:v>24126564.9878035</c:v>
                </c:pt>
                <c:pt idx="5">
                  <c:v>26567010.005220503</c:v>
                </c:pt>
                <c:pt idx="6">
                  <c:v>22002358.887150198</c:v>
                </c:pt>
                <c:pt idx="7">
                  <c:v>27139460.457831398</c:v>
                </c:pt>
                <c:pt idx="8">
                  <c:v>34358116.274133399</c:v>
                </c:pt>
                <c:pt idx="9">
                  <c:v>42291972.326346897</c:v>
                </c:pt>
                <c:pt idx="10">
                  <c:v>54109877.6092894</c:v>
                </c:pt>
                <c:pt idx="11">
                  <c:v>69581306.65074569</c:v>
                </c:pt>
                <c:pt idx="12">
                  <c:v>58269386.717495903</c:v>
                </c:pt>
                <c:pt idx="13">
                  <c:v>50459019.3318922</c:v>
                </c:pt>
                <c:pt idx="14">
                  <c:v>56991578.469485402</c:v>
                </c:pt>
                <c:pt idx="15">
                  <c:v>56175064.140354</c:v>
                </c:pt>
                <c:pt idx="16">
                  <c:v>87013501.104236409</c:v>
                </c:pt>
                <c:pt idx="17">
                  <c:v>137278387.95018941</c:v>
                </c:pt>
                <c:pt idx="18">
                  <c:v>164644531.44087279</c:v>
                </c:pt>
                <c:pt idx="19">
                  <c:v>198364893.49040389</c:v>
                </c:pt>
                <c:pt idx="20">
                  <c:v>208167662.07627732</c:v>
                </c:pt>
                <c:pt idx="21">
                  <c:v>155365875.14347219</c:v>
                </c:pt>
                <c:pt idx="22">
                  <c:v>167424846.75637719</c:v>
                </c:pt>
                <c:pt idx="23">
                  <c:v>222701085.99484169</c:v>
                </c:pt>
                <c:pt idx="24">
                  <c:v>255923868.8830975</c:v>
                </c:pt>
                <c:pt idx="25">
                  <c:v>343279791.16625661</c:v>
                </c:pt>
                <c:pt idx="26">
                  <c:v>390672766.57938582</c:v>
                </c:pt>
                <c:pt idx="27">
                  <c:v>488718799.82875103</c:v>
                </c:pt>
                <c:pt idx="28">
                  <c:v>707157169.8363291</c:v>
                </c:pt>
                <c:pt idx="29">
                  <c:v>1092553208.185991</c:v>
                </c:pt>
                <c:pt idx="30">
                  <c:v>1414999361.6227851</c:v>
                </c:pt>
                <c:pt idx="31">
                  <c:v>837748067.01792872</c:v>
                </c:pt>
                <c:pt idx="32">
                  <c:v>628760244.02860856</c:v>
                </c:pt>
                <c:pt idx="33">
                  <c:v>604303487.22563756</c:v>
                </c:pt>
                <c:pt idx="34">
                  <c:v>737681640.30583262</c:v>
                </c:pt>
                <c:pt idx="35">
                  <c:v>996713812.91845655</c:v>
                </c:pt>
                <c:pt idx="36">
                  <c:v>1481561038.8319368</c:v>
                </c:pt>
                <c:pt idx="37">
                  <c:v>2001987306.454232</c:v>
                </c:pt>
                <c:pt idx="38">
                  <c:v>1818834252.7526619</c:v>
                </c:pt>
                <c:pt idx="39">
                  <c:v>1221840122.3008561</c:v>
                </c:pt>
                <c:pt idx="40">
                  <c:v>1422254758.2212431</c:v>
                </c:pt>
                <c:pt idx="41">
                  <c:v>1700082352.16415</c:v>
                </c:pt>
                <c:pt idx="42">
                  <c:v>1330272923.817049</c:v>
                </c:pt>
                <c:pt idx="43">
                  <c:v>1451964719.250674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Developing Countries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Sayfa1!$A$2:$A$45</c:f>
              <c:strCache>
                <c:ptCount val="44"/>
                <c:pt idx="1">
                  <c:v>1971,00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strCache>
            </c:strRef>
          </c:cat>
          <c:val>
            <c:numRef>
              <c:f>Sayfa1!$C$2:$C$45</c:f>
              <c:numCache>
                <c:formatCode>0.00</c:formatCode>
                <c:ptCount val="44"/>
                <c:pt idx="0">
                  <c:v>3854459.7102795001</c:v>
                </c:pt>
                <c:pt idx="1">
                  <c:v>3631348.5415928001</c:v>
                </c:pt>
                <c:pt idx="2">
                  <c:v>3423630.4336116998</c:v>
                </c:pt>
                <c:pt idx="3">
                  <c:v>5175833.6782093002</c:v>
                </c:pt>
                <c:pt idx="4">
                  <c:v>2465509.3856405001</c:v>
                </c:pt>
                <c:pt idx="5">
                  <c:v>9709459.2360426001</c:v>
                </c:pt>
                <c:pt idx="6">
                  <c:v>6467215.0988760991</c:v>
                </c:pt>
                <c:pt idx="7">
                  <c:v>6991797.6989949001</c:v>
                </c:pt>
                <c:pt idx="8">
                  <c:v>8990440.0595704</c:v>
                </c:pt>
                <c:pt idx="9">
                  <c:v>8505344.118737299</c:v>
                </c:pt>
                <c:pt idx="10">
                  <c:v>7510468.7574837999</c:v>
                </c:pt>
                <c:pt idx="11">
                  <c:v>24056907.994751599</c:v>
                </c:pt>
                <c:pt idx="12">
                  <c:v>26405715.9188045</c:v>
                </c:pt>
                <c:pt idx="13">
                  <c:v>17655118.3278265</c:v>
                </c:pt>
                <c:pt idx="14">
                  <c:v>17672148.469455399</c:v>
                </c:pt>
                <c:pt idx="15">
                  <c:v>14286471.7684913</c:v>
                </c:pt>
                <c:pt idx="16">
                  <c:v>16016523.630179098</c:v>
                </c:pt>
                <c:pt idx="17">
                  <c:v>22013250.905952998</c:v>
                </c:pt>
                <c:pt idx="18">
                  <c:v>30769250.524176802</c:v>
                </c:pt>
                <c:pt idx="19">
                  <c:v>31371391.529802799</c:v>
                </c:pt>
                <c:pt idx="20">
                  <c:v>35018319.285879001</c:v>
                </c:pt>
                <c:pt idx="21">
                  <c:v>39832707.869798005</c:v>
                </c:pt>
                <c:pt idx="22">
                  <c:v>53494470.5309375</c:v>
                </c:pt>
                <c:pt idx="23">
                  <c:v>77024227.19721891</c:v>
                </c:pt>
                <c:pt idx="24">
                  <c:v>103687437.2492508</c:v>
                </c:pt>
                <c:pt idx="25">
                  <c:v>117674489.05368531</c:v>
                </c:pt>
                <c:pt idx="26">
                  <c:v>149982929.34741649</c:v>
                </c:pt>
                <c:pt idx="27">
                  <c:v>192877495.0908882</c:v>
                </c:pt>
                <c:pt idx="28">
                  <c:v>189641565.67504051</c:v>
                </c:pt>
                <c:pt idx="29">
                  <c:v>232363542.30532852</c:v>
                </c:pt>
                <c:pt idx="30">
                  <c:v>266644274.15783739</c:v>
                </c:pt>
                <c:pt idx="31">
                  <c:v>226163995.3469907</c:v>
                </c:pt>
                <c:pt idx="32">
                  <c:v>172322943.024331</c:v>
                </c:pt>
                <c:pt idx="33">
                  <c:v>197459185.0037747</c:v>
                </c:pt>
                <c:pt idx="34">
                  <c:v>284618890.25922441</c:v>
                </c:pt>
                <c:pt idx="35">
                  <c:v>341428255.56730938</c:v>
                </c:pt>
                <c:pt idx="36">
                  <c:v>432869137.53380662</c:v>
                </c:pt>
                <c:pt idx="37">
                  <c:v>591161239.99291754</c:v>
                </c:pt>
                <c:pt idx="38">
                  <c:v>668757977.81297553</c:v>
                </c:pt>
                <c:pt idx="39">
                  <c:v>532580061.29961878</c:v>
                </c:pt>
                <c:pt idx="40">
                  <c:v>648207580.31876183</c:v>
                </c:pt>
                <c:pt idx="41">
                  <c:v>724839917.39001727</c:v>
                </c:pt>
                <c:pt idx="42">
                  <c:v>729449231.67296278</c:v>
                </c:pt>
                <c:pt idx="43">
                  <c:v>778372350.00881243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Developed Countries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Sayfa1!$A$2:$A$45</c:f>
              <c:strCache>
                <c:ptCount val="44"/>
                <c:pt idx="1">
                  <c:v>1971,00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strCache>
            </c:strRef>
          </c:cat>
          <c:val>
            <c:numRef>
              <c:f>Sayfa1!$D$2:$D$45</c:f>
              <c:numCache>
                <c:formatCode>0.00</c:formatCode>
                <c:ptCount val="44"/>
                <c:pt idx="0">
                  <c:v>1266096.0875993001</c:v>
                </c:pt>
                <c:pt idx="1">
                  <c:v>840662.1233944</c:v>
                </c:pt>
                <c:pt idx="2">
                  <c:v>918686.11968580005</c:v>
                </c:pt>
                <c:pt idx="3">
                  <c:v>764173.10518029996</c:v>
                </c:pt>
                <c:pt idx="4">
                  <c:v>1817643.7062673001</c:v>
                </c:pt>
                <c:pt idx="5">
                  <c:v>906122.86770459998</c:v>
                </c:pt>
                <c:pt idx="6">
                  <c:v>1679390.0745999999</c:v>
                </c:pt>
                <c:pt idx="7">
                  <c:v>781059.78319810005</c:v>
                </c:pt>
                <c:pt idx="8">
                  <c:v>784346.41046459996</c:v>
                </c:pt>
                <c:pt idx="9">
                  <c:v>1483563.3325366001</c:v>
                </c:pt>
                <c:pt idx="10">
                  <c:v>400353.84477849997</c:v>
                </c:pt>
                <c:pt idx="11">
                  <c:v>1952913.0628226001</c:v>
                </c:pt>
                <c:pt idx="12">
                  <c:v>2074092.0741146002</c:v>
                </c:pt>
                <c:pt idx="13">
                  <c:v>1322944.9842818999</c:v>
                </c:pt>
                <c:pt idx="14">
                  <c:v>1884869.3889618001</c:v>
                </c:pt>
                <c:pt idx="15">
                  <c:v>2442302.3384476001</c:v>
                </c:pt>
                <c:pt idx="16">
                  <c:v>1770519.8882914002</c:v>
                </c:pt>
                <c:pt idx="17">
                  <c:v>2443167.9743344998</c:v>
                </c:pt>
                <c:pt idx="18">
                  <c:v>3032398.904507</c:v>
                </c:pt>
                <c:pt idx="19">
                  <c:v>4693302.6129466994</c:v>
                </c:pt>
                <c:pt idx="20">
                  <c:v>2846162.5370324999</c:v>
                </c:pt>
                <c:pt idx="21">
                  <c:v>3536374.5142689999</c:v>
                </c:pt>
                <c:pt idx="22">
                  <c:v>3795618.0263413</c:v>
                </c:pt>
                <c:pt idx="23">
                  <c:v>5443385.1990342</c:v>
                </c:pt>
                <c:pt idx="24">
                  <c:v>6080847.4673960004</c:v>
                </c:pt>
                <c:pt idx="25">
                  <c:v>5907085.4955535997</c:v>
                </c:pt>
                <c:pt idx="26">
                  <c:v>6298052.3215199998</c:v>
                </c:pt>
                <c:pt idx="27">
                  <c:v>11269693.222004401</c:v>
                </c:pt>
                <c:pt idx="28">
                  <c:v>10229281.991855901</c:v>
                </c:pt>
                <c:pt idx="29">
                  <c:v>12007775.558101501</c:v>
                </c:pt>
                <c:pt idx="30">
                  <c:v>9620587.1036332995</c:v>
                </c:pt>
                <c:pt idx="31">
                  <c:v>19942975.5828823</c:v>
                </c:pt>
                <c:pt idx="32">
                  <c:v>14611034.165068001</c:v>
                </c:pt>
                <c:pt idx="33">
                  <c:v>18164390.7820726</c:v>
                </c:pt>
                <c:pt idx="34">
                  <c:v>17261422.025789801</c:v>
                </c:pt>
                <c:pt idx="35">
                  <c:v>31013308.063200198</c:v>
                </c:pt>
                <c:pt idx="36">
                  <c:v>35720240.355193704</c:v>
                </c:pt>
                <c:pt idx="37">
                  <c:v>51364344.167713702</c:v>
                </c:pt>
                <c:pt idx="38">
                  <c:v>59276492.387363896</c:v>
                </c:pt>
                <c:pt idx="39">
                  <c:v>56042577.245623097</c:v>
                </c:pt>
                <c:pt idx="40">
                  <c:v>47034108.644860901</c:v>
                </c:pt>
                <c:pt idx="41">
                  <c:v>48020936.806802198</c:v>
                </c:pt>
                <c:pt idx="42">
                  <c:v>55180201.542107701</c:v>
                </c:pt>
                <c:pt idx="43">
                  <c:v>57238846.460686296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Less Developed Countries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Sayfa1!$A$2:$A$45</c:f>
              <c:strCache>
                <c:ptCount val="44"/>
                <c:pt idx="1">
                  <c:v>1971,00</c:v>
                </c:pt>
                <c:pt idx="2">
                  <c:v>1972</c:v>
                </c:pt>
                <c:pt idx="3">
                  <c:v>1973</c:v>
                </c:pt>
                <c:pt idx="4">
                  <c:v>1974</c:v>
                </c:pt>
                <c:pt idx="5">
                  <c:v>1975</c:v>
                </c:pt>
                <c:pt idx="6">
                  <c:v>1976</c:v>
                </c:pt>
                <c:pt idx="7">
                  <c:v>1977</c:v>
                </c:pt>
                <c:pt idx="8">
                  <c:v>1978</c:v>
                </c:pt>
                <c:pt idx="9">
                  <c:v>1979</c:v>
                </c:pt>
                <c:pt idx="10">
                  <c:v>1980</c:v>
                </c:pt>
                <c:pt idx="11">
                  <c:v>1981</c:v>
                </c:pt>
                <c:pt idx="12">
                  <c:v>1982</c:v>
                </c:pt>
                <c:pt idx="13">
                  <c:v>1983</c:v>
                </c:pt>
                <c:pt idx="14">
                  <c:v>1984</c:v>
                </c:pt>
                <c:pt idx="15">
                  <c:v>1985</c:v>
                </c:pt>
                <c:pt idx="16">
                  <c:v>1986</c:v>
                </c:pt>
                <c:pt idx="17">
                  <c:v>1987</c:v>
                </c:pt>
                <c:pt idx="18">
                  <c:v>1988</c:v>
                </c:pt>
                <c:pt idx="19">
                  <c:v>1989</c:v>
                </c:pt>
                <c:pt idx="20">
                  <c:v>1990</c:v>
                </c:pt>
                <c:pt idx="21">
                  <c:v>1991</c:v>
                </c:pt>
                <c:pt idx="22">
                  <c:v>1992</c:v>
                </c:pt>
                <c:pt idx="23">
                  <c:v>1993</c:v>
                </c:pt>
                <c:pt idx="24">
                  <c:v>1994</c:v>
                </c:pt>
                <c:pt idx="25">
                  <c:v>1995</c:v>
                </c:pt>
                <c:pt idx="26">
                  <c:v>1996</c:v>
                </c:pt>
                <c:pt idx="27">
                  <c:v>1997</c:v>
                </c:pt>
                <c:pt idx="28">
                  <c:v>1998</c:v>
                </c:pt>
                <c:pt idx="29">
                  <c:v>1999</c:v>
                </c:pt>
                <c:pt idx="30">
                  <c:v>2000</c:v>
                </c:pt>
                <c:pt idx="31">
                  <c:v>2001</c:v>
                </c:pt>
                <c:pt idx="32">
                  <c:v>2002</c:v>
                </c:pt>
                <c:pt idx="33">
                  <c:v>2003</c:v>
                </c:pt>
                <c:pt idx="34">
                  <c:v>2004</c:v>
                </c:pt>
                <c:pt idx="35">
                  <c:v>2005</c:v>
                </c:pt>
                <c:pt idx="36">
                  <c:v>2006</c:v>
                </c:pt>
                <c:pt idx="37">
                  <c:v>2007</c:v>
                </c:pt>
                <c:pt idx="38">
                  <c:v>2008</c:v>
                </c:pt>
                <c:pt idx="39">
                  <c:v>2009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strCache>
            </c:strRef>
          </c:cat>
          <c:val>
            <c:numRef>
              <c:f>Sayfa1!$E$2:$E$45</c:f>
              <c:numCache>
                <c:formatCode>0.00</c:formatCode>
                <c:ptCount val="44"/>
                <c:pt idx="0">
                  <c:v>154140.09999999998</c:v>
                </c:pt>
                <c:pt idx="1">
                  <c:v>33300.1</c:v>
                </c:pt>
                <c:pt idx="2">
                  <c:v>139500.07999999999</c:v>
                </c:pt>
                <c:pt idx="3">
                  <c:v>260890.06999999998</c:v>
                </c:pt>
                <c:pt idx="4">
                  <c:v>247540.06999999998</c:v>
                </c:pt>
                <c:pt idx="5">
                  <c:v>286178.41333329998</c:v>
                </c:pt>
                <c:pt idx="6">
                  <c:v>503508.06999999995</c:v>
                </c:pt>
                <c:pt idx="7">
                  <c:v>378783.97000000003</c:v>
                </c:pt>
                <c:pt idx="8">
                  <c:v>544386.85</c:v>
                </c:pt>
                <c:pt idx="9">
                  <c:v>501927.75</c:v>
                </c:pt>
                <c:pt idx="10">
                  <c:v>538269.16</c:v>
                </c:pt>
                <c:pt idx="11">
                  <c:v>575263.05999999994</c:v>
                </c:pt>
                <c:pt idx="12">
                  <c:v>692164.65</c:v>
                </c:pt>
                <c:pt idx="13">
                  <c:v>13101.57</c:v>
                </c:pt>
                <c:pt idx="14">
                  <c:v>216719.08</c:v>
                </c:pt>
                <c:pt idx="15">
                  <c:v>442882.77728420001</c:v>
                </c:pt>
                <c:pt idx="16">
                  <c:v>221728.9055539</c:v>
                </c:pt>
                <c:pt idx="17">
                  <c:v>417825.5300499</c:v>
                </c:pt>
                <c:pt idx="18">
                  <c:v>613697.3180188</c:v>
                </c:pt>
                <c:pt idx="19">
                  <c:v>1318831.8511642001</c:v>
                </c:pt>
                <c:pt idx="20">
                  <c:v>567156.1663687001</c:v>
                </c:pt>
                <c:pt idx="21">
                  <c:v>1568515.7512070001</c:v>
                </c:pt>
                <c:pt idx="22">
                  <c:v>1497520.9996087002</c:v>
                </c:pt>
                <c:pt idx="23">
                  <c:v>1889369.9725222001</c:v>
                </c:pt>
                <c:pt idx="24">
                  <c:v>1065064.5364025999</c:v>
                </c:pt>
                <c:pt idx="25">
                  <c:v>2018369.8119725999</c:v>
                </c:pt>
                <c:pt idx="26">
                  <c:v>2620054.9031626</c:v>
                </c:pt>
                <c:pt idx="27">
                  <c:v>4004772.0394062996</c:v>
                </c:pt>
                <c:pt idx="28">
                  <c:v>5086551.0686751008</c:v>
                </c:pt>
                <c:pt idx="29">
                  <c:v>5858578.6054857001</c:v>
                </c:pt>
                <c:pt idx="30">
                  <c:v>4136287.3504471001</c:v>
                </c:pt>
                <c:pt idx="31">
                  <c:v>7109206.0806782003</c:v>
                </c:pt>
                <c:pt idx="32">
                  <c:v>6801387.4089777004</c:v>
                </c:pt>
                <c:pt idx="33">
                  <c:v>10226905.3740262</c:v>
                </c:pt>
                <c:pt idx="34">
                  <c:v>8570789.167038599</c:v>
                </c:pt>
                <c:pt idx="35">
                  <c:v>7434289.6695262995</c:v>
                </c:pt>
                <c:pt idx="36">
                  <c:v>10564417.275296601</c:v>
                </c:pt>
                <c:pt idx="37">
                  <c:v>15031411.580865601</c:v>
                </c:pt>
                <c:pt idx="38">
                  <c:v>18881988.205015101</c:v>
                </c:pt>
                <c:pt idx="39">
                  <c:v>18481393.9614431</c:v>
                </c:pt>
                <c:pt idx="40">
                  <c:v>19557966.7035661</c:v>
                </c:pt>
                <c:pt idx="41">
                  <c:v>22111225.3231484</c:v>
                </c:pt>
                <c:pt idx="42">
                  <c:v>24428598.549481601</c:v>
                </c:pt>
                <c:pt idx="43">
                  <c:v>27956228.546035703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2981680"/>
        <c:axId val="222982072"/>
      </c:lineChart>
      <c:catAx>
        <c:axId val="22298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2982072"/>
        <c:crosses val="autoZero"/>
        <c:auto val="1"/>
        <c:lblAlgn val="ctr"/>
        <c:lblOffset val="100"/>
        <c:noMultiLvlLbl val="0"/>
      </c:catAx>
      <c:valAx>
        <c:axId val="222982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298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48545861297539E-3"/>
          <c:y val="0.88760531370360318"/>
          <c:w val="0.98380548069075258"/>
          <c:h val="0.112394686296396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1381</Words>
  <Characters>7878</Characters>
  <Application>Microsoft Office Word</Application>
  <DocSecurity>0</DocSecurity>
  <Lines>65</Lines>
  <Paragraphs>18</Paragraphs>
  <ScaleCrop>false</ScaleCrop>
  <Company>SilentAll Team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3</cp:revision>
  <dcterms:created xsi:type="dcterms:W3CDTF">2017-01-30T13:49:00Z</dcterms:created>
  <dcterms:modified xsi:type="dcterms:W3CDTF">2017-01-30T13:55:00Z</dcterms:modified>
</cp:coreProperties>
</file>