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00" w:rsidRPr="0070337A" w:rsidRDefault="00EA4700" w:rsidP="00EA4700">
      <w:pPr>
        <w:tabs>
          <w:tab w:val="left" w:pos="8222"/>
        </w:tabs>
        <w:autoSpaceDE w:val="0"/>
        <w:autoSpaceDN w:val="0"/>
        <w:spacing w:line="240" w:lineRule="auto"/>
        <w:ind w:firstLineChars="202" w:firstLine="566"/>
        <w:jc w:val="center"/>
        <w:rPr>
          <w:rFonts w:eastAsia="DFKai-SB"/>
          <w:b/>
          <w:sz w:val="28"/>
          <w:szCs w:val="28"/>
        </w:rPr>
      </w:pPr>
      <w:r w:rsidRPr="0070337A">
        <w:rPr>
          <w:rFonts w:eastAsia="DFKai-SB"/>
          <w:b/>
          <w:sz w:val="28"/>
          <w:szCs w:val="28"/>
        </w:rPr>
        <w:t>The Influences of Cognition of Institutional Logics and Triple Helix Relations on Innovation Performance: An Empirical Study of Firms in Industrial Park in Taiwan</w:t>
      </w:r>
    </w:p>
    <w:p w:rsidR="00EA4700" w:rsidRPr="0070337A" w:rsidRDefault="00EA4700" w:rsidP="00EA4700">
      <w:pPr>
        <w:snapToGrid w:val="0"/>
        <w:spacing w:beforeLines="50" w:afterLines="50" w:line="240" w:lineRule="auto"/>
        <w:jc w:val="center"/>
        <w:rPr>
          <w:rFonts w:eastAsia="DFKai-SB"/>
          <w:szCs w:val="24"/>
        </w:rPr>
      </w:pPr>
    </w:p>
    <w:p w:rsidR="00EA4700" w:rsidRPr="0070337A" w:rsidRDefault="00EA4700" w:rsidP="00EA4700">
      <w:pPr>
        <w:snapToGrid w:val="0"/>
        <w:spacing w:beforeLines="50" w:afterLines="50" w:line="240" w:lineRule="auto"/>
        <w:jc w:val="center"/>
        <w:rPr>
          <w:rFonts w:eastAsia="DFKai-SB"/>
          <w:szCs w:val="24"/>
        </w:rPr>
      </w:pPr>
      <w:bookmarkStart w:id="0" w:name="_Hlk492423392"/>
      <w:r w:rsidRPr="0070337A">
        <w:rPr>
          <w:rFonts w:eastAsia="DFKai-SB"/>
          <w:szCs w:val="24"/>
        </w:rPr>
        <w:t>Min-Lang Yang</w:t>
      </w:r>
    </w:p>
    <w:p w:rsidR="00EA4700" w:rsidRPr="0070337A" w:rsidRDefault="00EA4700" w:rsidP="00EA4700">
      <w:pPr>
        <w:snapToGrid w:val="0"/>
        <w:spacing w:beforeLines="50" w:afterLines="50" w:line="240" w:lineRule="auto"/>
        <w:jc w:val="center"/>
        <w:rPr>
          <w:rFonts w:eastAsia="DFKai-SB"/>
          <w:szCs w:val="24"/>
        </w:rPr>
      </w:pPr>
      <w:r w:rsidRPr="0070337A">
        <w:rPr>
          <w:rFonts w:eastAsia="DFKai-SB"/>
          <w:szCs w:val="24"/>
        </w:rPr>
        <w:t>Director</w:t>
      </w:r>
    </w:p>
    <w:p w:rsidR="00EA4700" w:rsidRPr="0070337A" w:rsidRDefault="00EA4700" w:rsidP="00EA4700">
      <w:pPr>
        <w:snapToGrid w:val="0"/>
        <w:spacing w:beforeLines="50" w:afterLines="50" w:line="240" w:lineRule="auto"/>
        <w:jc w:val="center"/>
        <w:rPr>
          <w:rFonts w:eastAsia="DFKai-SB"/>
          <w:szCs w:val="24"/>
        </w:rPr>
      </w:pPr>
      <w:r w:rsidRPr="0070337A">
        <w:rPr>
          <w:rFonts w:eastAsia="DFKai-SB"/>
          <w:szCs w:val="24"/>
        </w:rPr>
        <w:t>Metal Industries Research &amp; Development Centre</w:t>
      </w:r>
    </w:p>
    <w:p w:rsidR="00EA4700" w:rsidRPr="0070337A" w:rsidRDefault="00EA4700" w:rsidP="00EA4700">
      <w:pPr>
        <w:snapToGrid w:val="0"/>
        <w:spacing w:beforeLines="50" w:afterLines="50" w:line="240" w:lineRule="auto"/>
        <w:jc w:val="center"/>
        <w:rPr>
          <w:rFonts w:eastAsia="DFKai-SB"/>
          <w:szCs w:val="24"/>
        </w:rPr>
      </w:pPr>
      <w:r w:rsidRPr="0070337A">
        <w:rPr>
          <w:rFonts w:eastAsia="DFKai-SB"/>
          <w:szCs w:val="24"/>
        </w:rPr>
        <w:t xml:space="preserve">1001 </w:t>
      </w:r>
      <w:proofErr w:type="spellStart"/>
      <w:r w:rsidRPr="0070337A">
        <w:rPr>
          <w:rFonts w:eastAsia="DFKai-SB"/>
          <w:szCs w:val="24"/>
        </w:rPr>
        <w:t>Kaonan</w:t>
      </w:r>
      <w:proofErr w:type="spellEnd"/>
      <w:r w:rsidRPr="0070337A">
        <w:rPr>
          <w:rFonts w:eastAsia="DFKai-SB"/>
          <w:szCs w:val="24"/>
        </w:rPr>
        <w:t xml:space="preserve"> Highway, </w:t>
      </w:r>
      <w:proofErr w:type="spellStart"/>
      <w:r w:rsidRPr="0070337A">
        <w:rPr>
          <w:rFonts w:eastAsia="DFKai-SB"/>
          <w:szCs w:val="24"/>
        </w:rPr>
        <w:t>Nanzi</w:t>
      </w:r>
      <w:proofErr w:type="spellEnd"/>
      <w:r w:rsidRPr="0070337A">
        <w:rPr>
          <w:rFonts w:eastAsia="DFKai-SB"/>
          <w:szCs w:val="24"/>
        </w:rPr>
        <w:t xml:space="preserve"> District, Kaohsiung city (833), Taiwan</w:t>
      </w:r>
    </w:p>
    <w:p w:rsidR="00EA4700" w:rsidRPr="0070337A" w:rsidRDefault="00EA4700" w:rsidP="00EA4700">
      <w:pPr>
        <w:spacing w:line="240" w:lineRule="auto"/>
        <w:rPr>
          <w:rFonts w:eastAsia="DFKai-SB"/>
          <w:szCs w:val="24"/>
        </w:rPr>
      </w:pPr>
    </w:p>
    <w:p w:rsidR="00EA4700" w:rsidRPr="0070337A" w:rsidRDefault="00EA4700" w:rsidP="00EA4700">
      <w:pPr>
        <w:snapToGrid w:val="0"/>
        <w:spacing w:beforeLines="50" w:afterLines="50" w:line="240" w:lineRule="auto"/>
        <w:jc w:val="center"/>
        <w:rPr>
          <w:rFonts w:eastAsia="DFKai-SB"/>
          <w:szCs w:val="24"/>
        </w:rPr>
      </w:pPr>
      <w:proofErr w:type="spellStart"/>
      <w:r w:rsidRPr="0070337A">
        <w:rPr>
          <w:rFonts w:eastAsia="DFKai-SB"/>
          <w:szCs w:val="24"/>
        </w:rPr>
        <w:t>Rueywei</w:t>
      </w:r>
      <w:proofErr w:type="spellEnd"/>
      <w:r w:rsidRPr="0070337A">
        <w:rPr>
          <w:rFonts w:eastAsia="DFKai-SB"/>
          <w:szCs w:val="24"/>
        </w:rPr>
        <w:t xml:space="preserve"> Gong</w:t>
      </w:r>
    </w:p>
    <w:p w:rsidR="00EA4700" w:rsidRPr="0070337A" w:rsidRDefault="00EA4700" w:rsidP="00EA4700">
      <w:pPr>
        <w:snapToGrid w:val="0"/>
        <w:spacing w:beforeLines="50" w:afterLines="50" w:line="240" w:lineRule="auto"/>
        <w:jc w:val="center"/>
        <w:rPr>
          <w:rFonts w:eastAsia="DFKai-SB"/>
          <w:szCs w:val="24"/>
        </w:rPr>
      </w:pPr>
      <w:r w:rsidRPr="0070337A">
        <w:rPr>
          <w:rFonts w:eastAsia="DFKai-SB"/>
          <w:szCs w:val="24"/>
        </w:rPr>
        <w:t>Associate professor</w:t>
      </w:r>
    </w:p>
    <w:p w:rsidR="00EA4700" w:rsidRPr="0070337A" w:rsidRDefault="00EA4700" w:rsidP="00EA4700">
      <w:pPr>
        <w:snapToGrid w:val="0"/>
        <w:spacing w:beforeLines="50" w:afterLines="50" w:line="240" w:lineRule="auto"/>
        <w:jc w:val="center"/>
        <w:rPr>
          <w:rFonts w:eastAsia="DFKai-SB"/>
          <w:szCs w:val="24"/>
        </w:rPr>
      </w:pPr>
      <w:r w:rsidRPr="0070337A">
        <w:rPr>
          <w:rFonts w:eastAsia="DFKai-SB"/>
          <w:szCs w:val="24"/>
        </w:rPr>
        <w:t xml:space="preserve">Department of Tourism &amp; Recreation and Office of Institutional Research &amp; Management, Cheng </w:t>
      </w:r>
      <w:proofErr w:type="spellStart"/>
      <w:r w:rsidRPr="0070337A">
        <w:rPr>
          <w:rFonts w:eastAsia="DFKai-SB"/>
          <w:szCs w:val="24"/>
        </w:rPr>
        <w:t>Shiu</w:t>
      </w:r>
      <w:proofErr w:type="spellEnd"/>
      <w:r w:rsidRPr="0070337A">
        <w:rPr>
          <w:rFonts w:eastAsia="DFKai-SB"/>
          <w:szCs w:val="24"/>
        </w:rPr>
        <w:t xml:space="preserve"> University</w:t>
      </w:r>
    </w:p>
    <w:p w:rsidR="00EA4700" w:rsidRPr="0070337A" w:rsidRDefault="00EA4700" w:rsidP="00EA4700">
      <w:pPr>
        <w:snapToGrid w:val="0"/>
        <w:spacing w:beforeLines="50" w:afterLines="50" w:line="240" w:lineRule="auto"/>
        <w:jc w:val="center"/>
        <w:rPr>
          <w:rFonts w:eastAsia="DFKai-SB"/>
          <w:szCs w:val="24"/>
        </w:rPr>
      </w:pPr>
      <w:r w:rsidRPr="0070337A">
        <w:rPr>
          <w:rFonts w:eastAsia="DFKai-SB"/>
          <w:szCs w:val="24"/>
        </w:rPr>
        <w:t xml:space="preserve">No. 840, </w:t>
      </w:r>
      <w:proofErr w:type="spellStart"/>
      <w:r w:rsidRPr="0070337A">
        <w:rPr>
          <w:rFonts w:eastAsia="DFKai-SB"/>
          <w:szCs w:val="24"/>
        </w:rPr>
        <w:t>Chengcing</w:t>
      </w:r>
      <w:proofErr w:type="spellEnd"/>
      <w:r w:rsidRPr="0070337A">
        <w:rPr>
          <w:rFonts w:eastAsia="DFKai-SB"/>
          <w:szCs w:val="24"/>
        </w:rPr>
        <w:t xml:space="preserve"> Rd., </w:t>
      </w:r>
      <w:proofErr w:type="spellStart"/>
      <w:r w:rsidRPr="0070337A">
        <w:rPr>
          <w:rFonts w:eastAsia="DFKai-SB"/>
          <w:szCs w:val="24"/>
        </w:rPr>
        <w:t>Niaosong</w:t>
      </w:r>
      <w:proofErr w:type="spellEnd"/>
      <w:r w:rsidRPr="0070337A">
        <w:rPr>
          <w:rFonts w:eastAsia="DFKai-SB"/>
          <w:szCs w:val="24"/>
        </w:rPr>
        <w:t xml:space="preserve"> District, Kaohsiung city (833), Taiwan</w:t>
      </w:r>
    </w:p>
    <w:p w:rsidR="00EA4700" w:rsidRPr="0070337A" w:rsidRDefault="00EA4700" w:rsidP="00EA4700">
      <w:pPr>
        <w:spacing w:line="240" w:lineRule="auto"/>
        <w:rPr>
          <w:rFonts w:eastAsia="DFKai-SB"/>
          <w:szCs w:val="24"/>
        </w:rPr>
      </w:pPr>
    </w:p>
    <w:p w:rsidR="00EA4700" w:rsidRPr="0070337A" w:rsidRDefault="00EA4700" w:rsidP="00EA4700">
      <w:pPr>
        <w:snapToGrid w:val="0"/>
        <w:spacing w:beforeLines="50" w:afterLines="50" w:line="240" w:lineRule="auto"/>
        <w:jc w:val="center"/>
        <w:rPr>
          <w:rFonts w:eastAsia="DFKai-SB"/>
          <w:szCs w:val="24"/>
        </w:rPr>
      </w:pPr>
      <w:r w:rsidRPr="0070337A">
        <w:rPr>
          <w:rFonts w:eastAsia="DFKai-SB"/>
          <w:szCs w:val="24"/>
        </w:rPr>
        <w:t>Shih-Ying Chen</w:t>
      </w:r>
    </w:p>
    <w:p w:rsidR="00EA4700" w:rsidRPr="0070337A" w:rsidRDefault="00EA4700" w:rsidP="00EA4700">
      <w:pPr>
        <w:snapToGrid w:val="0"/>
        <w:spacing w:beforeLines="50" w:afterLines="50" w:line="240" w:lineRule="auto"/>
        <w:jc w:val="center"/>
        <w:rPr>
          <w:rFonts w:eastAsia="DFKai-SB"/>
          <w:szCs w:val="24"/>
        </w:rPr>
      </w:pPr>
      <w:r w:rsidRPr="0070337A">
        <w:rPr>
          <w:rFonts w:eastAsia="DFKai-SB"/>
          <w:szCs w:val="24"/>
        </w:rPr>
        <w:t>Associate professor</w:t>
      </w:r>
    </w:p>
    <w:p w:rsidR="00EA4700" w:rsidRPr="0070337A" w:rsidRDefault="00EA4700" w:rsidP="00EA4700">
      <w:pPr>
        <w:snapToGrid w:val="0"/>
        <w:spacing w:beforeLines="50" w:beforeAutospacing="1" w:afterLines="50" w:afterAutospacing="1" w:line="240" w:lineRule="auto"/>
        <w:jc w:val="center"/>
        <w:rPr>
          <w:rFonts w:eastAsia="DFKai-SB"/>
        </w:rPr>
      </w:pPr>
      <w:r w:rsidRPr="0070337A">
        <w:rPr>
          <w:rFonts w:eastAsia="DFKai-SB"/>
        </w:rPr>
        <w:t xml:space="preserve">Department of Food and Beverage Management&amp; Office of Institutional Research and Management, Cheng </w:t>
      </w:r>
      <w:proofErr w:type="spellStart"/>
      <w:r w:rsidRPr="0070337A">
        <w:rPr>
          <w:rFonts w:eastAsia="DFKai-SB"/>
        </w:rPr>
        <w:t>Shiu</w:t>
      </w:r>
      <w:proofErr w:type="spellEnd"/>
      <w:r w:rsidRPr="0070337A">
        <w:rPr>
          <w:rFonts w:eastAsia="DFKai-SB"/>
        </w:rPr>
        <w:t xml:space="preserve"> University</w:t>
      </w:r>
    </w:p>
    <w:p w:rsidR="00EA4700" w:rsidRPr="0070337A" w:rsidRDefault="00EA4700" w:rsidP="00EA4700">
      <w:pPr>
        <w:snapToGrid w:val="0"/>
        <w:spacing w:beforeLines="50" w:beforeAutospacing="1" w:afterLines="50" w:afterAutospacing="1" w:line="240" w:lineRule="auto"/>
        <w:jc w:val="center"/>
        <w:rPr>
          <w:rFonts w:eastAsia="DFKai-SB"/>
          <w:szCs w:val="24"/>
        </w:rPr>
      </w:pPr>
      <w:r w:rsidRPr="0070337A">
        <w:rPr>
          <w:rFonts w:eastAsia="DFKai-SB"/>
          <w:szCs w:val="24"/>
        </w:rPr>
        <w:t xml:space="preserve">No. 840, </w:t>
      </w:r>
      <w:proofErr w:type="spellStart"/>
      <w:r w:rsidRPr="0070337A">
        <w:rPr>
          <w:rFonts w:eastAsia="DFKai-SB"/>
          <w:szCs w:val="24"/>
        </w:rPr>
        <w:t>Chengcing</w:t>
      </w:r>
      <w:proofErr w:type="spellEnd"/>
      <w:r w:rsidRPr="0070337A">
        <w:rPr>
          <w:rFonts w:eastAsia="DFKai-SB"/>
          <w:szCs w:val="24"/>
        </w:rPr>
        <w:t xml:space="preserve"> Rd., </w:t>
      </w:r>
      <w:proofErr w:type="spellStart"/>
      <w:r w:rsidRPr="0070337A">
        <w:rPr>
          <w:rFonts w:eastAsia="DFKai-SB"/>
          <w:szCs w:val="24"/>
        </w:rPr>
        <w:t>Niaosong</w:t>
      </w:r>
      <w:proofErr w:type="spellEnd"/>
      <w:r w:rsidRPr="0070337A">
        <w:rPr>
          <w:rFonts w:eastAsia="DFKai-SB"/>
          <w:szCs w:val="24"/>
        </w:rPr>
        <w:t xml:space="preserve"> District, Kaohsiung city (833), Taiwan</w:t>
      </w:r>
    </w:p>
    <w:p w:rsidR="00EA4700" w:rsidRPr="0070337A" w:rsidRDefault="00EA4700" w:rsidP="00EA4700">
      <w:pPr>
        <w:spacing w:line="240" w:lineRule="auto"/>
        <w:rPr>
          <w:rFonts w:eastAsia="DFKai-SB"/>
          <w:szCs w:val="24"/>
        </w:rPr>
      </w:pPr>
    </w:p>
    <w:p w:rsidR="00EA4700" w:rsidRPr="0070337A" w:rsidRDefault="00EA4700" w:rsidP="00EA4700">
      <w:pPr>
        <w:snapToGrid w:val="0"/>
        <w:spacing w:beforeLines="50" w:afterLines="50" w:line="240" w:lineRule="auto"/>
        <w:jc w:val="center"/>
        <w:rPr>
          <w:rFonts w:eastAsia="DFKai-SB"/>
          <w:szCs w:val="24"/>
        </w:rPr>
      </w:pPr>
      <w:r w:rsidRPr="0070337A">
        <w:rPr>
          <w:rFonts w:eastAsia="DFKai-SB"/>
          <w:szCs w:val="24"/>
        </w:rPr>
        <w:t>Fu-</w:t>
      </w:r>
      <w:proofErr w:type="spellStart"/>
      <w:r w:rsidRPr="0070337A">
        <w:rPr>
          <w:rFonts w:eastAsia="DFKai-SB"/>
          <w:szCs w:val="24"/>
        </w:rPr>
        <w:t>Sheng</w:t>
      </w:r>
      <w:proofErr w:type="spellEnd"/>
      <w:r w:rsidRPr="0070337A">
        <w:rPr>
          <w:rFonts w:eastAsia="DFKai-SB"/>
          <w:szCs w:val="24"/>
        </w:rPr>
        <w:t xml:space="preserve"> Tsai*</w:t>
      </w:r>
    </w:p>
    <w:p w:rsidR="00EA4700" w:rsidRPr="0070337A" w:rsidRDefault="00EA4700" w:rsidP="00EA4700">
      <w:pPr>
        <w:snapToGrid w:val="0"/>
        <w:spacing w:beforeLines="50" w:afterLines="50" w:line="240" w:lineRule="auto"/>
        <w:jc w:val="center"/>
        <w:rPr>
          <w:rFonts w:eastAsia="DFKai-SB"/>
          <w:szCs w:val="24"/>
        </w:rPr>
      </w:pPr>
      <w:r w:rsidRPr="0070337A">
        <w:rPr>
          <w:rFonts w:eastAsia="DFKai-SB"/>
          <w:szCs w:val="24"/>
        </w:rPr>
        <w:t>Associate professor</w:t>
      </w:r>
    </w:p>
    <w:p w:rsidR="00EA4700" w:rsidRPr="0070337A" w:rsidRDefault="00EA4700" w:rsidP="00EA4700">
      <w:pPr>
        <w:snapToGrid w:val="0"/>
        <w:spacing w:beforeLines="50" w:afterLines="50" w:line="240" w:lineRule="auto"/>
        <w:jc w:val="center"/>
        <w:rPr>
          <w:rFonts w:eastAsia="DFKai-SB"/>
          <w:szCs w:val="24"/>
        </w:rPr>
      </w:pPr>
      <w:r w:rsidRPr="0070337A">
        <w:rPr>
          <w:rFonts w:eastAsia="DFKai-SB"/>
          <w:szCs w:val="24"/>
        </w:rPr>
        <w:t xml:space="preserve">Department of Business Administration and Office of Institutional Research &amp; Management, Cheng </w:t>
      </w:r>
      <w:proofErr w:type="spellStart"/>
      <w:r w:rsidRPr="0070337A">
        <w:rPr>
          <w:rFonts w:eastAsia="DFKai-SB"/>
          <w:szCs w:val="24"/>
        </w:rPr>
        <w:t>Shiu</w:t>
      </w:r>
      <w:proofErr w:type="spellEnd"/>
      <w:r w:rsidRPr="0070337A">
        <w:rPr>
          <w:rFonts w:eastAsia="DFKai-SB"/>
          <w:szCs w:val="24"/>
        </w:rPr>
        <w:t xml:space="preserve"> University</w:t>
      </w:r>
    </w:p>
    <w:p w:rsidR="00EA4700" w:rsidRPr="0070337A" w:rsidRDefault="00EA4700" w:rsidP="00EA4700">
      <w:pPr>
        <w:snapToGrid w:val="0"/>
        <w:spacing w:beforeLines="50" w:afterLines="50" w:line="240" w:lineRule="auto"/>
        <w:jc w:val="center"/>
        <w:rPr>
          <w:rFonts w:eastAsia="DFKai-SB"/>
          <w:szCs w:val="24"/>
        </w:rPr>
      </w:pPr>
      <w:r w:rsidRPr="0070337A">
        <w:rPr>
          <w:rFonts w:eastAsia="DFKai-SB"/>
          <w:szCs w:val="24"/>
        </w:rPr>
        <w:t xml:space="preserve">No. 840, </w:t>
      </w:r>
      <w:proofErr w:type="spellStart"/>
      <w:r w:rsidRPr="0070337A">
        <w:rPr>
          <w:rFonts w:eastAsia="DFKai-SB"/>
          <w:szCs w:val="24"/>
        </w:rPr>
        <w:t>Chengcing</w:t>
      </w:r>
      <w:proofErr w:type="spellEnd"/>
      <w:r w:rsidRPr="0070337A">
        <w:rPr>
          <w:rFonts w:eastAsia="DFKai-SB"/>
          <w:szCs w:val="24"/>
        </w:rPr>
        <w:t xml:space="preserve"> Rd., </w:t>
      </w:r>
      <w:proofErr w:type="spellStart"/>
      <w:r w:rsidRPr="0070337A">
        <w:rPr>
          <w:rFonts w:eastAsia="DFKai-SB"/>
          <w:szCs w:val="24"/>
        </w:rPr>
        <w:t>Niaosong</w:t>
      </w:r>
      <w:proofErr w:type="spellEnd"/>
      <w:r w:rsidRPr="0070337A">
        <w:rPr>
          <w:rFonts w:eastAsia="DFKai-SB"/>
          <w:szCs w:val="24"/>
        </w:rPr>
        <w:t xml:space="preserve"> District, Kaohsiung city (833), Taiwan </w:t>
      </w:r>
    </w:p>
    <w:p w:rsidR="00EA4700" w:rsidRPr="0070337A" w:rsidRDefault="00EA4700" w:rsidP="00EA4700">
      <w:pPr>
        <w:snapToGrid w:val="0"/>
        <w:spacing w:beforeLines="50" w:afterLines="50" w:line="240" w:lineRule="auto"/>
        <w:jc w:val="center"/>
        <w:rPr>
          <w:rFonts w:eastAsia="DFKai-SB"/>
          <w:szCs w:val="24"/>
        </w:rPr>
      </w:pPr>
      <w:r w:rsidRPr="0070337A">
        <w:rPr>
          <w:rFonts w:eastAsia="DFKai-SB"/>
          <w:szCs w:val="24"/>
        </w:rPr>
        <w:t>886-7-7310606 ext. 5132</w:t>
      </w:r>
    </w:p>
    <w:p w:rsidR="00EA4700" w:rsidRPr="0070337A" w:rsidRDefault="00EA4700" w:rsidP="00EA4700">
      <w:pPr>
        <w:spacing w:line="240" w:lineRule="auto"/>
        <w:rPr>
          <w:rFonts w:eastAsia="DFKai-SB"/>
          <w:szCs w:val="24"/>
        </w:rPr>
      </w:pPr>
    </w:p>
    <w:p w:rsidR="00EA4700" w:rsidRPr="0070337A" w:rsidRDefault="00EA4700" w:rsidP="00EA4700">
      <w:pPr>
        <w:spacing w:line="240" w:lineRule="auto"/>
        <w:rPr>
          <w:rFonts w:eastAsia="DFKai-SB"/>
          <w:b/>
          <w:sz w:val="28"/>
          <w:szCs w:val="28"/>
        </w:rPr>
      </w:pPr>
      <w:r w:rsidRPr="0070337A">
        <w:rPr>
          <w:rFonts w:eastAsia="DFKai-SB"/>
          <w:szCs w:val="24"/>
        </w:rPr>
        <w:t xml:space="preserve">* Corresponding author. </w:t>
      </w:r>
      <w:bookmarkEnd w:id="0"/>
      <w:r w:rsidRPr="0070337A">
        <w:rPr>
          <w:rFonts w:eastAsia="DFKai-SB"/>
          <w:b/>
          <w:sz w:val="28"/>
          <w:szCs w:val="28"/>
        </w:rPr>
        <w:br w:type="page"/>
      </w:r>
    </w:p>
    <w:p w:rsidR="00EA4700" w:rsidRPr="002760BD" w:rsidRDefault="00EA4700" w:rsidP="00EA4700">
      <w:pPr>
        <w:widowControl/>
        <w:tabs>
          <w:tab w:val="left" w:pos="8222"/>
        </w:tabs>
        <w:autoSpaceDE w:val="0"/>
        <w:autoSpaceDN w:val="0"/>
        <w:snapToGrid w:val="0"/>
        <w:spacing w:beforeLines="50" w:afterLines="50" w:line="240" w:lineRule="auto"/>
        <w:ind w:right="232"/>
        <w:jc w:val="center"/>
        <w:textAlignment w:val="bottom"/>
        <w:rPr>
          <w:rFonts w:eastAsia="DFKai-SB"/>
          <w:b/>
          <w:sz w:val="28"/>
          <w:szCs w:val="28"/>
        </w:rPr>
      </w:pPr>
      <w:r w:rsidRPr="002760BD">
        <w:rPr>
          <w:rFonts w:eastAsia="DFKai-SB"/>
          <w:b/>
          <w:sz w:val="28"/>
          <w:szCs w:val="28"/>
        </w:rPr>
        <w:lastRenderedPageBreak/>
        <w:t>ABSTRACT</w:t>
      </w:r>
    </w:p>
    <w:p w:rsidR="00EA4700" w:rsidRPr="0070337A" w:rsidRDefault="00EA4700" w:rsidP="00EA4700">
      <w:pPr>
        <w:widowControl/>
        <w:tabs>
          <w:tab w:val="left" w:pos="8222"/>
        </w:tabs>
        <w:autoSpaceDE w:val="0"/>
        <w:autoSpaceDN w:val="0"/>
        <w:snapToGrid w:val="0"/>
        <w:spacing w:beforeLines="50" w:afterLines="50" w:line="480" w:lineRule="auto"/>
        <w:ind w:right="232"/>
        <w:jc w:val="both"/>
        <w:textAlignment w:val="bottom"/>
        <w:rPr>
          <w:rFonts w:eastAsia="DFKai-SB"/>
          <w:szCs w:val="28"/>
        </w:rPr>
      </w:pPr>
      <w:r w:rsidRPr="0070337A">
        <w:rPr>
          <w:rFonts w:eastAsia="DFKai-SB"/>
          <w:szCs w:val="28"/>
        </w:rPr>
        <w:t>The present study set out to investigate into the influences of cognition of institutional logics and triple helix relationships (i.e., the industry-university-government linkages) on firm innovation performance in the context of Taiwan industrial parks. The data from 131 organizational-level questionnaires collected from firms located in different industrial parks were analyzed. The results showed that cognition of institutional logics is positively associated with firms’ innovation performance. Furthermore, such positive relationship is strengthened by the number of triple helix relationships</w:t>
      </w:r>
      <w:r>
        <w:rPr>
          <w:rFonts w:eastAsia="DFKai-SB"/>
          <w:szCs w:val="28"/>
        </w:rPr>
        <w:t xml:space="preserve"> in the form of mediation but not moderation effect</w:t>
      </w:r>
      <w:r w:rsidRPr="0070337A">
        <w:rPr>
          <w:rFonts w:eastAsia="DFKai-SB"/>
          <w:szCs w:val="28"/>
        </w:rPr>
        <w:t xml:space="preserve">. Theoretical and practical implications were elaborated. </w:t>
      </w:r>
    </w:p>
    <w:p w:rsidR="00EA4700" w:rsidRPr="0070337A" w:rsidRDefault="00EA4700" w:rsidP="00EA4700">
      <w:pPr>
        <w:widowControl/>
        <w:tabs>
          <w:tab w:val="left" w:pos="8222"/>
        </w:tabs>
        <w:autoSpaceDE w:val="0"/>
        <w:autoSpaceDN w:val="0"/>
        <w:snapToGrid w:val="0"/>
        <w:spacing w:beforeLines="50" w:afterLines="50" w:line="480" w:lineRule="auto"/>
        <w:ind w:right="232"/>
        <w:jc w:val="both"/>
        <w:textAlignment w:val="bottom"/>
        <w:rPr>
          <w:rFonts w:eastAsia="DFKai-SB"/>
          <w:sz w:val="28"/>
          <w:szCs w:val="28"/>
        </w:rPr>
      </w:pPr>
      <w:r w:rsidRPr="0070337A">
        <w:rPr>
          <w:rFonts w:eastAsia="DFKai-SB"/>
          <w:b/>
          <w:szCs w:val="28"/>
        </w:rPr>
        <w:t>Keywords</w:t>
      </w:r>
      <w:r w:rsidRPr="0070337A">
        <w:rPr>
          <w:rFonts w:eastAsia="DFKai-SB"/>
          <w:szCs w:val="28"/>
        </w:rPr>
        <w:t>: cognition of institutional logics; triple helix; innovation performance; industrial park</w:t>
      </w:r>
    </w:p>
    <w:p w:rsidR="00AE1107" w:rsidRDefault="00AE1107"/>
    <w:sectPr w:rsidR="00AE1107" w:rsidSect="00AE11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DFKai-SB">
    <w:altName w:val="標楷體"/>
    <w:panose1 w:val="03000509000000000000"/>
    <w:charset w:val="88"/>
    <w:family w:val="script"/>
    <w:pitch w:val="fixed"/>
    <w:sig w:usb0="00000003" w:usb1="080E0000" w:usb2="00000016" w:usb3="00000000" w:csb0="001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A4700"/>
    <w:rsid w:val="00AE1107"/>
    <w:rsid w:val="00E64169"/>
    <w:rsid w:val="00EA47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00"/>
    <w:pPr>
      <w:widowControl w:val="0"/>
      <w:adjustRightInd w:val="0"/>
      <w:spacing w:after="0" w:line="360" w:lineRule="atLeast"/>
      <w:textAlignment w:val="baseline"/>
    </w:pPr>
    <w:rPr>
      <w:rFonts w:eastAsia="MingLiU"/>
      <w:color w:val="auto"/>
      <w:sz w:val="24"/>
      <w:szCs w:val="20"/>
      <w:lang w:val="en-US" w:eastAsia="zh-TW"/>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dc:creator>
  <cp:lastModifiedBy>Bilal</cp:lastModifiedBy>
  <cp:revision>1</cp:revision>
  <dcterms:created xsi:type="dcterms:W3CDTF">2017-09-15T18:15:00Z</dcterms:created>
  <dcterms:modified xsi:type="dcterms:W3CDTF">2017-09-15T18:15:00Z</dcterms:modified>
</cp:coreProperties>
</file>