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0D" w:rsidRDefault="006C1E0D" w:rsidP="006C1E0D">
      <w:pPr>
        <w:pStyle w:val="AralkYok"/>
        <w:keepNext/>
      </w:pPr>
      <w:r w:rsidRPr="00BC1AC9">
        <w:rPr>
          <w:noProof/>
          <w:lang w:val="tr-TR" w:eastAsia="tr-TR"/>
        </w:rPr>
        <w:drawing>
          <wp:inline distT="0" distB="0" distL="0" distR="0">
            <wp:extent cx="4714875" cy="2066925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C1E0D" w:rsidRPr="00570C3A" w:rsidRDefault="006C1E0D" w:rsidP="006C1E0D">
      <w:pPr>
        <w:pStyle w:val="AralkYok"/>
        <w:jc w:val="center"/>
        <w:rPr>
          <w:rFonts w:ascii="Times New Roman" w:hAnsi="Times New Roman"/>
          <w:i/>
          <w:sz w:val="20"/>
          <w:szCs w:val="20"/>
        </w:rPr>
      </w:pPr>
      <w:r w:rsidRPr="00570C3A">
        <w:rPr>
          <w:rFonts w:ascii="Times New Roman" w:hAnsi="Times New Roman"/>
          <w:b/>
          <w:sz w:val="20"/>
          <w:szCs w:val="20"/>
        </w:rPr>
        <w:t xml:space="preserve">Graph </w:t>
      </w:r>
      <w:r w:rsidR="00E670EF" w:rsidRPr="00570C3A">
        <w:rPr>
          <w:rFonts w:ascii="Times New Roman" w:hAnsi="Times New Roman"/>
          <w:b/>
          <w:sz w:val="20"/>
          <w:szCs w:val="20"/>
        </w:rPr>
        <w:fldChar w:fldCharType="begin"/>
      </w:r>
      <w:r w:rsidRPr="00570C3A">
        <w:rPr>
          <w:rFonts w:ascii="Times New Roman" w:hAnsi="Times New Roman"/>
          <w:b/>
          <w:sz w:val="20"/>
          <w:szCs w:val="20"/>
        </w:rPr>
        <w:instrText xml:space="preserve"> SEQ Graph \* ARABIC </w:instrText>
      </w:r>
      <w:r w:rsidR="00E670EF" w:rsidRPr="00570C3A">
        <w:rPr>
          <w:rFonts w:ascii="Times New Roman" w:hAnsi="Times New Roman"/>
          <w:b/>
          <w:sz w:val="20"/>
          <w:szCs w:val="20"/>
        </w:rPr>
        <w:fldChar w:fldCharType="separate"/>
      </w:r>
      <w:r w:rsidRPr="00570C3A">
        <w:rPr>
          <w:rFonts w:ascii="Times New Roman" w:hAnsi="Times New Roman"/>
          <w:b/>
          <w:noProof/>
          <w:sz w:val="20"/>
          <w:szCs w:val="20"/>
        </w:rPr>
        <w:t>1</w:t>
      </w:r>
      <w:r w:rsidR="00E670EF" w:rsidRPr="00570C3A">
        <w:rPr>
          <w:rFonts w:ascii="Times New Roman" w:hAnsi="Times New Roman"/>
          <w:b/>
          <w:sz w:val="20"/>
          <w:szCs w:val="20"/>
        </w:rPr>
        <w:fldChar w:fldCharType="end"/>
      </w:r>
      <w:r w:rsidRPr="00570C3A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Pr="00570C3A">
        <w:rPr>
          <w:rFonts w:ascii="Times New Roman" w:hAnsi="Times New Roman"/>
          <w:i/>
          <w:sz w:val="20"/>
          <w:szCs w:val="20"/>
        </w:rPr>
        <w:t>Export Trends of Turkey to Africa in Million USD, 1995-2015</w:t>
      </w:r>
    </w:p>
    <w:p w:rsidR="006C1E0D" w:rsidRPr="00570C3A" w:rsidRDefault="006C1E0D" w:rsidP="006C1E0D">
      <w:pPr>
        <w:pStyle w:val="AralkYok"/>
        <w:jc w:val="center"/>
        <w:rPr>
          <w:rFonts w:ascii="Times New Roman" w:hAnsi="Times New Roman"/>
          <w:i/>
          <w:sz w:val="20"/>
          <w:szCs w:val="20"/>
        </w:rPr>
      </w:pPr>
      <w:r w:rsidRPr="00570C3A">
        <w:rPr>
          <w:rFonts w:ascii="Times New Roman" w:hAnsi="Times New Roman"/>
          <w:b/>
          <w:sz w:val="20"/>
          <w:szCs w:val="20"/>
        </w:rPr>
        <w:t>Source:</w:t>
      </w:r>
      <w:r w:rsidRPr="00570C3A">
        <w:rPr>
          <w:rFonts w:ascii="Times New Roman" w:hAnsi="Times New Roman"/>
          <w:sz w:val="20"/>
          <w:szCs w:val="20"/>
        </w:rPr>
        <w:t xml:space="preserve"> </w:t>
      </w:r>
      <w:r w:rsidRPr="00570C3A">
        <w:rPr>
          <w:rFonts w:ascii="Times New Roman" w:hAnsi="Times New Roman"/>
          <w:i/>
          <w:sz w:val="20"/>
          <w:szCs w:val="20"/>
        </w:rPr>
        <w:t>Extracted from UNCTADSTAT database</w:t>
      </w:r>
    </w:p>
    <w:p w:rsidR="00D93A37" w:rsidRDefault="00021535"/>
    <w:p w:rsidR="006C1E0D" w:rsidRDefault="006C1E0D" w:rsidP="006C1E0D">
      <w:pPr>
        <w:pStyle w:val="AralkYok"/>
        <w:keepNext/>
        <w:jc w:val="center"/>
      </w:pPr>
      <w:r w:rsidRPr="00A212BA">
        <w:rPr>
          <w:noProof/>
          <w:lang w:val="tr-TR" w:eastAsia="tr-TR"/>
        </w:rPr>
        <w:drawing>
          <wp:inline distT="0" distB="0" distL="0" distR="0">
            <wp:extent cx="4581525" cy="2286000"/>
            <wp:effectExtent l="0" t="0" r="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C1E0D" w:rsidRPr="00570C3A" w:rsidRDefault="006C1E0D" w:rsidP="006C1E0D">
      <w:pPr>
        <w:pStyle w:val="AralkYok"/>
        <w:jc w:val="center"/>
        <w:rPr>
          <w:rFonts w:ascii="Times New Roman" w:hAnsi="Times New Roman"/>
          <w:i/>
          <w:sz w:val="20"/>
          <w:szCs w:val="20"/>
        </w:rPr>
      </w:pPr>
      <w:r w:rsidRPr="00570C3A">
        <w:rPr>
          <w:rFonts w:ascii="Times New Roman" w:hAnsi="Times New Roman"/>
          <w:b/>
          <w:sz w:val="20"/>
          <w:szCs w:val="20"/>
        </w:rPr>
        <w:t xml:space="preserve">Graph </w:t>
      </w:r>
      <w:r>
        <w:rPr>
          <w:rFonts w:ascii="Times New Roman" w:hAnsi="Times New Roman"/>
          <w:b/>
          <w:sz w:val="20"/>
          <w:szCs w:val="20"/>
        </w:rPr>
        <w:t>2</w:t>
      </w:r>
      <w:r w:rsidRPr="00570C3A">
        <w:rPr>
          <w:rFonts w:ascii="Times New Roman" w:hAnsi="Times New Roman"/>
          <w:b/>
          <w:sz w:val="20"/>
          <w:szCs w:val="20"/>
        </w:rPr>
        <w:t>:</w:t>
      </w:r>
      <w:r w:rsidRPr="00570C3A">
        <w:rPr>
          <w:rFonts w:ascii="Times New Roman" w:hAnsi="Times New Roman"/>
          <w:sz w:val="20"/>
          <w:szCs w:val="20"/>
        </w:rPr>
        <w:t xml:space="preserve"> </w:t>
      </w:r>
      <w:r w:rsidRPr="00570C3A">
        <w:rPr>
          <w:rFonts w:ascii="Times New Roman" w:hAnsi="Times New Roman"/>
          <w:i/>
          <w:sz w:val="20"/>
          <w:szCs w:val="20"/>
        </w:rPr>
        <w:t>Import Trends of Turkey from Africa in Million USD, 1995 - 2015</w:t>
      </w:r>
    </w:p>
    <w:p w:rsidR="006C1E0D" w:rsidRDefault="006C1E0D" w:rsidP="006C1E0D">
      <w:pPr>
        <w:pStyle w:val="AralkYok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570C3A">
        <w:rPr>
          <w:rFonts w:ascii="Times New Roman" w:hAnsi="Times New Roman"/>
          <w:b/>
          <w:sz w:val="20"/>
          <w:szCs w:val="20"/>
        </w:rPr>
        <w:t>Source:</w:t>
      </w:r>
      <w:r w:rsidRPr="00570C3A">
        <w:rPr>
          <w:rFonts w:ascii="Times New Roman" w:hAnsi="Times New Roman"/>
          <w:sz w:val="20"/>
          <w:szCs w:val="20"/>
        </w:rPr>
        <w:t xml:space="preserve"> </w:t>
      </w:r>
      <w:r w:rsidRPr="00570C3A">
        <w:rPr>
          <w:rFonts w:ascii="Times New Roman" w:hAnsi="Times New Roman"/>
          <w:i/>
          <w:sz w:val="20"/>
          <w:szCs w:val="20"/>
        </w:rPr>
        <w:t>Extracted from UNCTADSTAT database</w:t>
      </w:r>
    </w:p>
    <w:p w:rsidR="006C1E0D" w:rsidRDefault="006C1E0D" w:rsidP="006C1E0D">
      <w:pPr>
        <w:pStyle w:val="AralkYok"/>
        <w:ind w:firstLine="720"/>
        <w:jc w:val="center"/>
        <w:rPr>
          <w:rFonts w:ascii="Times New Roman" w:hAnsi="Times New Roman"/>
          <w:i/>
          <w:sz w:val="20"/>
          <w:szCs w:val="20"/>
        </w:rPr>
      </w:pPr>
    </w:p>
    <w:p w:rsidR="006C1E0D" w:rsidRDefault="006C1E0D" w:rsidP="006C1E0D">
      <w:pPr>
        <w:pStyle w:val="AralkYok"/>
        <w:ind w:firstLine="720"/>
        <w:jc w:val="center"/>
        <w:rPr>
          <w:rFonts w:ascii="Times New Roman" w:hAnsi="Times New Roman"/>
          <w:i/>
          <w:sz w:val="20"/>
          <w:szCs w:val="20"/>
        </w:rPr>
      </w:pPr>
    </w:p>
    <w:p w:rsidR="006C1E0D" w:rsidRPr="00570C3A" w:rsidRDefault="006C1E0D" w:rsidP="006C1E0D">
      <w:pPr>
        <w:pStyle w:val="AralkYok"/>
        <w:ind w:firstLine="720"/>
        <w:jc w:val="center"/>
        <w:rPr>
          <w:rFonts w:ascii="Times New Roman" w:hAnsi="Times New Roman"/>
          <w:i/>
          <w:sz w:val="20"/>
          <w:szCs w:val="20"/>
        </w:rPr>
      </w:pPr>
    </w:p>
    <w:p w:rsidR="006C1E0D" w:rsidRDefault="006C1E0D" w:rsidP="006C1E0D">
      <w:pPr>
        <w:pStyle w:val="AralkYok"/>
        <w:keepNext/>
        <w:jc w:val="center"/>
      </w:pPr>
      <w:r w:rsidRPr="009F7113">
        <w:rPr>
          <w:noProof/>
          <w:lang w:val="tr-TR" w:eastAsia="tr-TR"/>
        </w:rPr>
        <w:drawing>
          <wp:inline distT="0" distB="0" distL="0" distR="0">
            <wp:extent cx="5057775" cy="2133600"/>
            <wp:effectExtent l="0" t="0" r="0" b="0"/>
            <wp:docPr id="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C1E0D" w:rsidRPr="00570C3A" w:rsidRDefault="006C1E0D" w:rsidP="006C1E0D">
      <w:pPr>
        <w:pStyle w:val="AralkYok"/>
        <w:jc w:val="center"/>
        <w:rPr>
          <w:rFonts w:ascii="Times New Roman" w:hAnsi="Times New Roman"/>
          <w:sz w:val="20"/>
          <w:szCs w:val="20"/>
        </w:rPr>
      </w:pPr>
      <w:r w:rsidRPr="00570C3A">
        <w:rPr>
          <w:rFonts w:ascii="Times New Roman" w:hAnsi="Times New Roman"/>
          <w:b/>
          <w:sz w:val="20"/>
          <w:szCs w:val="20"/>
        </w:rPr>
        <w:t xml:space="preserve">Graph </w:t>
      </w:r>
      <w:r>
        <w:rPr>
          <w:rFonts w:ascii="Times New Roman" w:hAnsi="Times New Roman"/>
          <w:b/>
          <w:sz w:val="20"/>
          <w:szCs w:val="20"/>
        </w:rPr>
        <w:t>3</w:t>
      </w:r>
      <w:r w:rsidRPr="00570C3A">
        <w:rPr>
          <w:rFonts w:ascii="Times New Roman" w:hAnsi="Times New Roman"/>
          <w:b/>
          <w:sz w:val="20"/>
          <w:szCs w:val="20"/>
        </w:rPr>
        <w:t>:</w:t>
      </w:r>
      <w:r w:rsidRPr="00570C3A">
        <w:rPr>
          <w:rFonts w:ascii="Times New Roman" w:hAnsi="Times New Roman"/>
          <w:sz w:val="20"/>
          <w:szCs w:val="20"/>
        </w:rPr>
        <w:t xml:space="preserve"> </w:t>
      </w:r>
      <w:r w:rsidRPr="00570C3A">
        <w:rPr>
          <w:rFonts w:ascii="Times New Roman" w:hAnsi="Times New Roman"/>
          <w:i/>
          <w:sz w:val="20"/>
          <w:szCs w:val="20"/>
        </w:rPr>
        <w:t>The Trend of Outward FDI Positions of Turkey in Africa in Million USD, 2001 – 2013.</w:t>
      </w:r>
    </w:p>
    <w:p w:rsidR="006C1E0D" w:rsidRPr="00570C3A" w:rsidRDefault="006C1E0D" w:rsidP="006C1E0D">
      <w:pPr>
        <w:pStyle w:val="AralkYok"/>
        <w:jc w:val="center"/>
        <w:rPr>
          <w:rFonts w:ascii="Times New Roman" w:hAnsi="Times New Roman"/>
          <w:i/>
          <w:sz w:val="20"/>
          <w:szCs w:val="20"/>
        </w:rPr>
      </w:pPr>
      <w:r w:rsidRPr="00570C3A">
        <w:rPr>
          <w:rFonts w:ascii="Times New Roman" w:hAnsi="Times New Roman"/>
          <w:b/>
          <w:sz w:val="20"/>
          <w:szCs w:val="20"/>
        </w:rPr>
        <w:t>Source:</w:t>
      </w:r>
      <w:r w:rsidRPr="00570C3A">
        <w:rPr>
          <w:rFonts w:ascii="Times New Roman" w:hAnsi="Times New Roman"/>
          <w:sz w:val="20"/>
          <w:szCs w:val="20"/>
        </w:rPr>
        <w:t xml:space="preserve"> </w:t>
      </w:r>
      <w:r w:rsidRPr="00570C3A">
        <w:rPr>
          <w:rFonts w:ascii="Times New Roman" w:hAnsi="Times New Roman"/>
          <w:i/>
          <w:sz w:val="20"/>
          <w:szCs w:val="20"/>
        </w:rPr>
        <w:t>UNCTAD Bilateral FDI Statistics, 2014.</w:t>
      </w:r>
    </w:p>
    <w:p w:rsidR="006C1E0D" w:rsidRDefault="006C1E0D" w:rsidP="006C1E0D">
      <w:pPr>
        <w:pStyle w:val="AralkYok"/>
        <w:keepNext/>
        <w:tabs>
          <w:tab w:val="left" w:pos="450"/>
        </w:tabs>
        <w:ind w:left="90"/>
      </w:pPr>
      <w:r w:rsidRPr="0014687D">
        <w:rPr>
          <w:noProof/>
          <w:lang w:val="tr-TR" w:eastAsia="tr-TR"/>
        </w:rPr>
        <w:lastRenderedPageBreak/>
        <w:drawing>
          <wp:inline distT="0" distB="0" distL="0" distR="0">
            <wp:extent cx="4457700" cy="2276475"/>
            <wp:effectExtent l="0" t="0" r="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1E0D" w:rsidRPr="00570C3A" w:rsidRDefault="006C1E0D" w:rsidP="006C1E0D">
      <w:pPr>
        <w:pStyle w:val="AralkYok"/>
        <w:jc w:val="center"/>
        <w:rPr>
          <w:rFonts w:ascii="Times New Roman" w:hAnsi="Times New Roman"/>
          <w:i/>
          <w:sz w:val="20"/>
          <w:szCs w:val="20"/>
        </w:rPr>
      </w:pPr>
      <w:r w:rsidRPr="00570C3A">
        <w:rPr>
          <w:rFonts w:ascii="Times New Roman" w:hAnsi="Times New Roman"/>
          <w:b/>
          <w:sz w:val="20"/>
          <w:szCs w:val="20"/>
        </w:rPr>
        <w:t xml:space="preserve">Graph </w:t>
      </w:r>
      <w:r w:rsidR="00E670EF" w:rsidRPr="00570C3A">
        <w:rPr>
          <w:rFonts w:ascii="Times New Roman" w:hAnsi="Times New Roman"/>
          <w:b/>
          <w:sz w:val="20"/>
          <w:szCs w:val="20"/>
        </w:rPr>
        <w:fldChar w:fldCharType="begin"/>
      </w:r>
      <w:r w:rsidRPr="00570C3A">
        <w:rPr>
          <w:rFonts w:ascii="Times New Roman" w:hAnsi="Times New Roman"/>
          <w:b/>
          <w:sz w:val="20"/>
          <w:szCs w:val="20"/>
        </w:rPr>
        <w:instrText xml:space="preserve"> SEQ Figure \* ARABIC </w:instrText>
      </w:r>
      <w:r w:rsidR="00E670EF" w:rsidRPr="00570C3A">
        <w:rPr>
          <w:rFonts w:ascii="Times New Roman" w:hAnsi="Times New Roman"/>
          <w:b/>
          <w:sz w:val="20"/>
          <w:szCs w:val="20"/>
        </w:rPr>
        <w:fldChar w:fldCharType="separate"/>
      </w:r>
      <w:r w:rsidRPr="00570C3A">
        <w:rPr>
          <w:rFonts w:ascii="Times New Roman" w:hAnsi="Times New Roman"/>
          <w:b/>
          <w:sz w:val="20"/>
          <w:szCs w:val="20"/>
        </w:rPr>
        <w:t>4</w:t>
      </w:r>
      <w:r w:rsidR="00E670EF" w:rsidRPr="00570C3A">
        <w:rPr>
          <w:rFonts w:ascii="Times New Roman" w:hAnsi="Times New Roman"/>
          <w:b/>
          <w:sz w:val="20"/>
          <w:szCs w:val="20"/>
        </w:rPr>
        <w:fldChar w:fldCharType="end"/>
      </w:r>
      <w:r w:rsidRPr="00570C3A">
        <w:rPr>
          <w:rFonts w:ascii="Times New Roman" w:hAnsi="Times New Roman"/>
          <w:b/>
          <w:sz w:val="20"/>
          <w:szCs w:val="20"/>
        </w:rPr>
        <w:t>:</w:t>
      </w:r>
      <w:r w:rsidRPr="00570C3A">
        <w:rPr>
          <w:rFonts w:ascii="Times New Roman" w:hAnsi="Times New Roman"/>
          <w:sz w:val="20"/>
          <w:szCs w:val="20"/>
        </w:rPr>
        <w:t xml:space="preserve"> </w:t>
      </w:r>
      <w:r w:rsidRPr="00570C3A">
        <w:rPr>
          <w:rFonts w:ascii="Times New Roman" w:hAnsi="Times New Roman"/>
          <w:i/>
          <w:sz w:val="20"/>
          <w:szCs w:val="20"/>
        </w:rPr>
        <w:t>Major Destinations and Volume of Turkish FDI in Africa in Million USD, 2015</w:t>
      </w:r>
    </w:p>
    <w:p w:rsidR="006C1E0D" w:rsidRPr="00570C3A" w:rsidRDefault="006C1E0D" w:rsidP="006C1E0D">
      <w:pPr>
        <w:pStyle w:val="AralkYok"/>
        <w:jc w:val="center"/>
        <w:rPr>
          <w:rFonts w:ascii="Times New Roman" w:hAnsi="Times New Roman"/>
          <w:i/>
          <w:sz w:val="20"/>
          <w:szCs w:val="20"/>
        </w:rPr>
      </w:pPr>
      <w:r w:rsidRPr="00570C3A">
        <w:rPr>
          <w:rFonts w:ascii="Times New Roman" w:hAnsi="Times New Roman"/>
          <w:b/>
          <w:sz w:val="20"/>
          <w:szCs w:val="20"/>
        </w:rPr>
        <w:t>Source:</w:t>
      </w:r>
      <w:r w:rsidRPr="00570C3A">
        <w:rPr>
          <w:rFonts w:ascii="Times New Roman" w:hAnsi="Times New Roman"/>
          <w:sz w:val="20"/>
          <w:szCs w:val="20"/>
        </w:rPr>
        <w:t xml:space="preserve"> </w:t>
      </w:r>
      <w:r w:rsidRPr="00570C3A">
        <w:rPr>
          <w:rFonts w:ascii="Times New Roman" w:hAnsi="Times New Roman"/>
          <w:i/>
          <w:sz w:val="20"/>
          <w:szCs w:val="20"/>
        </w:rPr>
        <w:t>UNCTAD Bilateral FDI Statistics, 2014</w:t>
      </w:r>
    </w:p>
    <w:p w:rsidR="006C1E0D" w:rsidRDefault="006C1E0D"/>
    <w:p w:rsidR="006C1E0D" w:rsidRDefault="006C1E0D"/>
    <w:p w:rsidR="006C1E0D" w:rsidRDefault="006C1E0D"/>
    <w:p w:rsidR="006C1E0D" w:rsidRDefault="006C1E0D"/>
    <w:p w:rsidR="006C1E0D" w:rsidRDefault="006C1E0D" w:rsidP="006C1E0D">
      <w:pPr>
        <w:keepNext/>
        <w:autoSpaceDE w:val="0"/>
        <w:autoSpaceDN w:val="0"/>
        <w:adjustRightInd w:val="0"/>
        <w:jc w:val="center"/>
      </w:pPr>
      <w:r w:rsidRPr="00376D9B">
        <w:rPr>
          <w:rFonts w:eastAsiaTheme="minorEastAsia"/>
          <w:noProof/>
          <w:color w:val="000000"/>
          <w:sz w:val="24"/>
          <w:szCs w:val="24"/>
          <w:lang w:val="tr-TR" w:eastAsia="tr-TR"/>
        </w:rPr>
        <w:drawing>
          <wp:inline distT="0" distB="0" distL="0" distR="0">
            <wp:extent cx="4572000" cy="1933575"/>
            <wp:effectExtent l="0" t="0" r="0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1E0D" w:rsidRPr="00570C3A" w:rsidRDefault="006C1E0D" w:rsidP="006C1E0D">
      <w:pPr>
        <w:pStyle w:val="AralkYok"/>
        <w:jc w:val="center"/>
        <w:rPr>
          <w:rFonts w:ascii="Times New Roman" w:hAnsi="Times New Roman"/>
          <w:i/>
          <w:sz w:val="20"/>
          <w:szCs w:val="20"/>
        </w:rPr>
      </w:pPr>
      <w:r w:rsidRPr="00570C3A">
        <w:rPr>
          <w:rFonts w:ascii="Times New Roman" w:hAnsi="Times New Roman"/>
          <w:b/>
          <w:sz w:val="20"/>
          <w:szCs w:val="20"/>
        </w:rPr>
        <w:t>Graph 5:</w:t>
      </w:r>
      <w:r w:rsidRPr="00570C3A">
        <w:rPr>
          <w:rFonts w:ascii="Times New Roman" w:hAnsi="Times New Roman"/>
          <w:sz w:val="20"/>
          <w:szCs w:val="20"/>
        </w:rPr>
        <w:t xml:space="preserve"> </w:t>
      </w:r>
      <w:r w:rsidRPr="00570C3A">
        <w:rPr>
          <w:rFonts w:ascii="Times New Roman" w:hAnsi="Times New Roman"/>
          <w:i/>
          <w:sz w:val="20"/>
          <w:szCs w:val="20"/>
        </w:rPr>
        <w:t>Job Opportunities Created by Foreign investors in Africa, 2014</w:t>
      </w:r>
    </w:p>
    <w:p w:rsidR="006C1E0D" w:rsidRPr="00570C3A" w:rsidRDefault="006C1E0D" w:rsidP="006C1E0D">
      <w:pPr>
        <w:pStyle w:val="AralkYok"/>
        <w:jc w:val="center"/>
        <w:rPr>
          <w:rFonts w:ascii="Times New Roman" w:hAnsi="Times New Roman"/>
          <w:i/>
          <w:sz w:val="20"/>
          <w:szCs w:val="20"/>
        </w:rPr>
      </w:pPr>
      <w:r w:rsidRPr="00570C3A">
        <w:rPr>
          <w:rFonts w:ascii="Times New Roman" w:hAnsi="Times New Roman"/>
          <w:b/>
          <w:sz w:val="20"/>
          <w:szCs w:val="20"/>
        </w:rPr>
        <w:t>Source:</w:t>
      </w:r>
      <w:r w:rsidRPr="00570C3A">
        <w:rPr>
          <w:rFonts w:ascii="Times New Roman" w:hAnsi="Times New Roman"/>
          <w:sz w:val="20"/>
          <w:szCs w:val="20"/>
        </w:rPr>
        <w:t xml:space="preserve"> </w:t>
      </w:r>
      <w:r w:rsidRPr="00570C3A">
        <w:rPr>
          <w:rFonts w:ascii="Times New Roman" w:hAnsi="Times New Roman"/>
          <w:i/>
          <w:sz w:val="20"/>
          <w:szCs w:val="20"/>
        </w:rPr>
        <w:t>The Africa Investment Report 2015</w:t>
      </w:r>
    </w:p>
    <w:p w:rsidR="006C1E0D" w:rsidRDefault="006C1E0D"/>
    <w:p w:rsidR="0028179E" w:rsidRDefault="0028179E"/>
    <w:p w:rsidR="0028179E" w:rsidRPr="00570C3A" w:rsidRDefault="0028179E" w:rsidP="0028179E">
      <w:pPr>
        <w:pStyle w:val="ResimYazs"/>
        <w:keepNext/>
        <w:ind w:firstLine="720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570C3A">
        <w:rPr>
          <w:rFonts w:ascii="Times New Roman" w:hAnsi="Times New Roman"/>
          <w:color w:val="auto"/>
          <w:sz w:val="20"/>
          <w:szCs w:val="20"/>
        </w:rPr>
        <w:t xml:space="preserve">Table </w:t>
      </w:r>
      <w:r w:rsidR="00E670EF" w:rsidRPr="00570C3A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570C3A">
        <w:rPr>
          <w:rFonts w:ascii="Times New Roman" w:hAnsi="Times New Roman"/>
          <w:color w:val="auto"/>
          <w:sz w:val="20"/>
          <w:szCs w:val="20"/>
        </w:rPr>
        <w:instrText xml:space="preserve"> SEQ Table \* ARABIC </w:instrText>
      </w:r>
      <w:r w:rsidR="00E670EF" w:rsidRPr="00570C3A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Pr="00570C3A">
        <w:rPr>
          <w:rFonts w:ascii="Times New Roman" w:hAnsi="Times New Roman"/>
          <w:color w:val="auto"/>
          <w:sz w:val="20"/>
          <w:szCs w:val="20"/>
        </w:rPr>
        <w:t>1</w:t>
      </w:r>
      <w:r w:rsidR="00E670EF" w:rsidRPr="00570C3A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570C3A">
        <w:rPr>
          <w:rFonts w:ascii="Times New Roman" w:hAnsi="Times New Roman"/>
          <w:color w:val="auto"/>
          <w:sz w:val="20"/>
          <w:szCs w:val="20"/>
        </w:rPr>
        <w:t xml:space="preserve">: </w:t>
      </w:r>
      <w:r w:rsidRPr="00570C3A">
        <w:rPr>
          <w:rFonts w:ascii="Times New Roman" w:hAnsi="Times New Roman"/>
          <w:b w:val="0"/>
          <w:i/>
          <w:color w:val="auto"/>
          <w:sz w:val="20"/>
          <w:szCs w:val="20"/>
        </w:rPr>
        <w:t>Estimation Results of the Study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2"/>
        <w:gridCol w:w="2368"/>
        <w:gridCol w:w="2430"/>
        <w:gridCol w:w="2610"/>
      </w:tblGrid>
      <w:tr w:rsidR="0028179E" w:rsidRPr="00570C3A" w:rsidTr="005D7A56">
        <w:tc>
          <w:tcPr>
            <w:tcW w:w="1592" w:type="dxa"/>
            <w:tcBorders>
              <w:top w:val="nil"/>
              <w:left w:val="nil"/>
            </w:tcBorders>
          </w:tcPr>
          <w:p w:rsidR="0028179E" w:rsidRPr="00570C3A" w:rsidRDefault="0028179E" w:rsidP="005D7A56"/>
        </w:tc>
        <w:tc>
          <w:tcPr>
            <w:tcW w:w="2368" w:type="dxa"/>
          </w:tcPr>
          <w:p w:rsidR="0028179E" w:rsidRPr="00570C3A" w:rsidRDefault="0028179E" w:rsidP="005D7A56">
            <w:pPr>
              <w:jc w:val="center"/>
              <w:rPr>
                <w:b/>
              </w:rPr>
            </w:pPr>
            <w:r w:rsidRPr="00570C3A">
              <w:rPr>
                <w:b/>
              </w:rPr>
              <w:t>Africa</w:t>
            </w:r>
          </w:p>
        </w:tc>
        <w:tc>
          <w:tcPr>
            <w:tcW w:w="2430" w:type="dxa"/>
          </w:tcPr>
          <w:p w:rsidR="0028179E" w:rsidRPr="00570C3A" w:rsidRDefault="0028179E" w:rsidP="005D7A56">
            <w:pPr>
              <w:jc w:val="center"/>
              <w:rPr>
                <w:b/>
              </w:rPr>
            </w:pPr>
            <w:r w:rsidRPr="00570C3A">
              <w:rPr>
                <w:b/>
              </w:rPr>
              <w:t>Sub-Saharan Africa</w:t>
            </w:r>
          </w:p>
        </w:tc>
        <w:tc>
          <w:tcPr>
            <w:tcW w:w="2610" w:type="dxa"/>
          </w:tcPr>
          <w:p w:rsidR="0028179E" w:rsidRPr="00570C3A" w:rsidRDefault="0028179E" w:rsidP="005D7A56">
            <w:pPr>
              <w:jc w:val="center"/>
              <w:rPr>
                <w:b/>
              </w:rPr>
            </w:pPr>
            <w:r w:rsidRPr="00570C3A">
              <w:rPr>
                <w:b/>
              </w:rPr>
              <w:t>North Africa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LogDist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-0.0598 (0.0178)***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-0.1312 (0.1053)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-0.0452 (0.0204)**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LogGDP_Af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0.1220 (0.0224)***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0.1735 (0.0357)***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-0.0203 (0.0639)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LogGDP_Tr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-0.0102 (0.1821)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-0.1747 (.2076)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0.3786 (0.0938)***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LogPI_Af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0.0628 (0.0138)***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0.1048 (0.0276)***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0.0507 (0.0279)*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LogPI_Tr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-0.0454 (0.1631)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-0.0213 (0.2069)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-0.1982 (0.1426)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LogEFI_Tr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1.0604 (0.1758)***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0.9933 (0.1541)***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0.8151 (0.4063)**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LogEFI_Af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0.4102 (0.1505)**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-0.1359 (0.4311)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0.1364 (0.1377)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LogNR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-0.0207 (0.0041)***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-0.0259 (0.0079)***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-0.0262 (0.0249)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CoReligDum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0.3638 (0.0303)***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0.3619 (0.0378)***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---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ComConsDum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0.0757 (0.0223)***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0.1117 (0.0425)**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---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LogReserve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-0.0475 (0.0124)***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-0.0793 (0.0280)**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-0.0466 (0.0295)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LogTime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0.0786 (0.0217)***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0.0446 (0.0171)**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0.1738 (0.0426)***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LogRuleLaw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-0.1889 (0.0323)***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-0.1636 (0.0256)***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-0.0093 (0.0494)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lastRenderedPageBreak/>
              <w:t>LogPolStable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0.0614 (0.0158)***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0.0896 (0.0203)***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0.0829 (0.0220)***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LogBilTrade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-0.0125 (0.0167)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-0.0153 (0.0169)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---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LogImp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---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---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0.0655 (0.0106)***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LogExp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---</w:t>
            </w:r>
          </w:p>
        </w:tc>
        <w:tc>
          <w:tcPr>
            <w:tcW w:w="2430" w:type="dxa"/>
          </w:tcPr>
          <w:p w:rsidR="0028179E" w:rsidRPr="00570C3A" w:rsidRDefault="0028179E" w:rsidP="005D7A56">
            <w:pPr>
              <w:jc w:val="center"/>
            </w:pPr>
            <w:r w:rsidRPr="00570C3A">
              <w:t>---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0.0953 (0.0998)</w:t>
            </w:r>
          </w:p>
        </w:tc>
      </w:tr>
      <w:tr w:rsidR="0028179E" w:rsidRPr="00570C3A" w:rsidTr="005D7A56">
        <w:tc>
          <w:tcPr>
            <w:tcW w:w="1592" w:type="dxa"/>
            <w:vAlign w:val="bottom"/>
          </w:tcPr>
          <w:p w:rsidR="0028179E" w:rsidRPr="00570C3A" w:rsidRDefault="0028179E" w:rsidP="005D7A56">
            <w:pPr>
              <w:rPr>
                <w:b/>
              </w:rPr>
            </w:pPr>
            <w:proofErr w:type="spellStart"/>
            <w:r w:rsidRPr="00570C3A">
              <w:rPr>
                <w:b/>
              </w:rPr>
              <w:t>LogCPI</w:t>
            </w:r>
            <w:proofErr w:type="spellEnd"/>
          </w:p>
        </w:tc>
        <w:tc>
          <w:tcPr>
            <w:tcW w:w="2368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0.1556 (0.0561)**</w:t>
            </w:r>
          </w:p>
        </w:tc>
        <w:tc>
          <w:tcPr>
            <w:tcW w:w="243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0.1666 (0.0626)***</w:t>
            </w:r>
          </w:p>
        </w:tc>
        <w:tc>
          <w:tcPr>
            <w:tcW w:w="2610" w:type="dxa"/>
            <w:vAlign w:val="bottom"/>
          </w:tcPr>
          <w:p w:rsidR="0028179E" w:rsidRPr="00570C3A" w:rsidRDefault="0028179E" w:rsidP="005D7A56">
            <w:pPr>
              <w:jc w:val="center"/>
            </w:pPr>
            <w:r w:rsidRPr="00570C3A">
              <w:t>0.0612 (0.0519)</w:t>
            </w:r>
          </w:p>
        </w:tc>
      </w:tr>
      <w:tr w:rsidR="0028179E" w:rsidRPr="00570C3A" w:rsidTr="005D7A56">
        <w:tc>
          <w:tcPr>
            <w:tcW w:w="1592" w:type="dxa"/>
          </w:tcPr>
          <w:p w:rsidR="0028179E" w:rsidRPr="00570C3A" w:rsidRDefault="0028179E" w:rsidP="005D7A56">
            <w:pPr>
              <w:rPr>
                <w:b/>
              </w:rPr>
            </w:pPr>
            <w:r w:rsidRPr="00570C3A">
              <w:rPr>
                <w:b/>
              </w:rPr>
              <w:t xml:space="preserve">Observations </w:t>
            </w:r>
          </w:p>
        </w:tc>
        <w:tc>
          <w:tcPr>
            <w:tcW w:w="2368" w:type="dxa"/>
          </w:tcPr>
          <w:p w:rsidR="0028179E" w:rsidRPr="00570C3A" w:rsidRDefault="0028179E" w:rsidP="005D7A56">
            <w:pPr>
              <w:jc w:val="center"/>
            </w:pPr>
            <w:r w:rsidRPr="00570C3A">
              <w:t>133</w:t>
            </w:r>
          </w:p>
        </w:tc>
        <w:tc>
          <w:tcPr>
            <w:tcW w:w="2430" w:type="dxa"/>
          </w:tcPr>
          <w:p w:rsidR="0028179E" w:rsidRPr="00570C3A" w:rsidRDefault="0028179E" w:rsidP="005D7A56">
            <w:pPr>
              <w:jc w:val="center"/>
            </w:pPr>
            <w:r w:rsidRPr="00570C3A">
              <w:t>89</w:t>
            </w:r>
          </w:p>
        </w:tc>
        <w:tc>
          <w:tcPr>
            <w:tcW w:w="2610" w:type="dxa"/>
          </w:tcPr>
          <w:p w:rsidR="0028179E" w:rsidRPr="00570C3A" w:rsidRDefault="0028179E" w:rsidP="005D7A56">
            <w:pPr>
              <w:jc w:val="center"/>
            </w:pPr>
            <w:r w:rsidRPr="00570C3A">
              <w:t>44</w:t>
            </w:r>
          </w:p>
        </w:tc>
      </w:tr>
      <w:tr w:rsidR="0028179E" w:rsidRPr="00570C3A" w:rsidTr="005D7A56">
        <w:tc>
          <w:tcPr>
            <w:tcW w:w="1592" w:type="dxa"/>
          </w:tcPr>
          <w:p w:rsidR="0028179E" w:rsidRPr="00570C3A" w:rsidRDefault="0028179E" w:rsidP="005D7A56">
            <w:pPr>
              <w:rPr>
                <w:b/>
              </w:rPr>
            </w:pPr>
            <w:r w:rsidRPr="00570C3A">
              <w:rPr>
                <w:b/>
              </w:rPr>
              <w:t xml:space="preserve">R-Squared </w:t>
            </w:r>
          </w:p>
        </w:tc>
        <w:tc>
          <w:tcPr>
            <w:tcW w:w="2368" w:type="dxa"/>
          </w:tcPr>
          <w:p w:rsidR="0028179E" w:rsidRPr="00570C3A" w:rsidRDefault="0028179E" w:rsidP="005D7A56">
            <w:pPr>
              <w:jc w:val="center"/>
            </w:pPr>
            <w:r w:rsidRPr="00570C3A">
              <w:t>0.7900</w:t>
            </w:r>
          </w:p>
        </w:tc>
        <w:tc>
          <w:tcPr>
            <w:tcW w:w="2430" w:type="dxa"/>
          </w:tcPr>
          <w:p w:rsidR="0028179E" w:rsidRPr="00570C3A" w:rsidRDefault="0028179E" w:rsidP="005D7A56">
            <w:pPr>
              <w:jc w:val="center"/>
            </w:pPr>
            <w:r w:rsidRPr="00570C3A">
              <w:t>0.7015</w:t>
            </w:r>
          </w:p>
        </w:tc>
        <w:tc>
          <w:tcPr>
            <w:tcW w:w="2610" w:type="dxa"/>
          </w:tcPr>
          <w:p w:rsidR="0028179E" w:rsidRPr="00570C3A" w:rsidRDefault="0028179E" w:rsidP="005D7A56">
            <w:pPr>
              <w:jc w:val="center"/>
            </w:pPr>
            <w:r w:rsidRPr="00570C3A">
              <w:t>0.8459</w:t>
            </w:r>
          </w:p>
        </w:tc>
      </w:tr>
    </w:tbl>
    <w:p w:rsidR="0028179E" w:rsidRPr="00570C3A" w:rsidRDefault="0028179E" w:rsidP="0028179E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570C3A">
        <w:rPr>
          <w:b/>
          <w:color w:val="000000"/>
        </w:rPr>
        <w:t xml:space="preserve">Source: </w:t>
      </w:r>
      <w:r w:rsidRPr="00570C3A">
        <w:rPr>
          <w:color w:val="000000"/>
        </w:rPr>
        <w:t>Authors’ Computation</w:t>
      </w:r>
    </w:p>
    <w:p w:rsidR="0028179E" w:rsidRDefault="0028179E"/>
    <w:p w:rsidR="0028179E" w:rsidRDefault="0028179E"/>
    <w:p w:rsidR="0028179E" w:rsidRPr="00B3183F" w:rsidRDefault="0028179E" w:rsidP="0028179E">
      <w:pPr>
        <w:pStyle w:val="ResimYazs"/>
        <w:keepNext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B3183F">
        <w:rPr>
          <w:rFonts w:ascii="Times New Roman" w:hAnsi="Times New Roman"/>
          <w:color w:val="auto"/>
          <w:sz w:val="20"/>
          <w:szCs w:val="20"/>
        </w:rPr>
        <w:t xml:space="preserve">Table 2: </w:t>
      </w:r>
      <w:r w:rsidRPr="00B3183F">
        <w:rPr>
          <w:rFonts w:ascii="Times New Roman" w:hAnsi="Times New Roman"/>
          <w:b w:val="0"/>
          <w:i/>
          <w:color w:val="auto"/>
          <w:sz w:val="20"/>
          <w:szCs w:val="20"/>
        </w:rPr>
        <w:t>Variables and Specific Sources of Data</w:t>
      </w:r>
    </w:p>
    <w:tbl>
      <w:tblPr>
        <w:tblW w:w="7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0"/>
        <w:gridCol w:w="3240"/>
        <w:gridCol w:w="2880"/>
      </w:tblGrid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F6E">
              <w:rPr>
                <w:rFonts w:ascii="Times New Roman" w:hAnsi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F6E">
              <w:rPr>
                <w:rFonts w:ascii="Times New Roman" w:hAnsi="Times New Roman"/>
                <w:b/>
                <w:sz w:val="20"/>
                <w:szCs w:val="20"/>
              </w:rPr>
              <w:t>Stands for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F6E">
              <w:rPr>
                <w:rFonts w:ascii="Times New Roman" w:hAnsi="Times New Roman"/>
                <w:b/>
                <w:sz w:val="20"/>
                <w:szCs w:val="20"/>
              </w:rPr>
              <w:t>Sources of Data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LogFDIpos_Tr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FDI positions of Turkey in African countries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elibrary-data.imf.org and </w:t>
            </w: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unctad</w:t>
            </w:r>
            <w:proofErr w:type="spellEnd"/>
            <w:r w:rsidRPr="00AD2F6E">
              <w:rPr>
                <w:rFonts w:ascii="Times New Roman" w:hAnsi="Times New Roman"/>
                <w:sz w:val="20"/>
                <w:szCs w:val="20"/>
              </w:rPr>
              <w:t xml:space="preserve"> Bilateral FDI report, 2014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LogDist</w:t>
            </w:r>
            <w:proofErr w:type="spellEnd"/>
            <w:r w:rsidRPr="00AD2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Distance between capital cities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iCs/>
                <w:sz w:val="20"/>
                <w:szCs w:val="20"/>
              </w:rPr>
              <w:t>https://www.distancecalculator.net/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LogGDP_Af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GDP of the African country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http://unctadstat.unctad.org/EN/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LogGDP_Tr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GDP of Turkey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http://unctadstat.unctad.org/EN/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LogPI_Af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Per capita income of the African country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http://unctadstat.unctad.org/EN/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LogPI_Tr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Per Capita income of Turkey  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http://unctadstat.unctad.org/EN/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LogFuel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Fuel production 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http://unctadstat.unctad.org/EN/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LogMinerals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Mineral production 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http://unctadstat.unctad.org/EN/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LogEFI_Af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Economic Freedom Index of African country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www.heritage.org/index/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LogEFI_Tr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Economic Freedom Index Turkey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www.heritage.org/index/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LogCPI_Af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Corruption Perception Index of African country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http://www.transparency.org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LogCPI_Tr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Corruption Perception Index of Turkey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http://www.transparency.org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LogCPI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Sum of Corruption Perception Indexes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http://www.transparency.org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ComReligDummy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Major common religion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https://en.wikipedia.org/wiki/Religions_by_country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ComLangDummy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Major common language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https://en.wikipedia.org/wiki/Category:Languages_by_country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ComConsDum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Commercial consulate of Turkey in the African country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http://www.deik.org.tr/turkiye-afrika-is-konseyleri</w:t>
            </w:r>
          </w:p>
        </w:tc>
      </w:tr>
      <w:tr w:rsidR="0028179E" w:rsidRPr="00AD2F6E" w:rsidTr="005D7A56">
        <w:tc>
          <w:tcPr>
            <w:tcW w:w="180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6E">
              <w:rPr>
                <w:rFonts w:ascii="Times New Roman" w:hAnsi="Times New Roman"/>
                <w:sz w:val="20"/>
                <w:szCs w:val="20"/>
              </w:rPr>
              <w:t>LogReserve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Currency and gold reserves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http://databank.worldbank.org/data/home.aspx</w:t>
            </w:r>
          </w:p>
        </w:tc>
      </w:tr>
      <w:tr w:rsidR="0028179E" w:rsidRPr="00AD2F6E" w:rsidTr="005D7A56">
        <w:tc>
          <w:tcPr>
            <w:tcW w:w="1800" w:type="dxa"/>
            <w:vAlign w:val="bottom"/>
          </w:tcPr>
          <w:p w:rsidR="0028179E" w:rsidRPr="00AD2F6E" w:rsidRDefault="0028179E" w:rsidP="005D7A56">
            <w:proofErr w:type="spellStart"/>
            <w:r w:rsidRPr="00AD2F6E">
              <w:t>LogTime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Time required to start business and time required to enforce a contract 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http://databank.worldbank.org/data/home.aspx</w:t>
            </w:r>
          </w:p>
        </w:tc>
      </w:tr>
      <w:tr w:rsidR="0028179E" w:rsidRPr="00AD2F6E" w:rsidTr="005D7A56">
        <w:tc>
          <w:tcPr>
            <w:tcW w:w="1800" w:type="dxa"/>
            <w:vAlign w:val="bottom"/>
          </w:tcPr>
          <w:p w:rsidR="0028179E" w:rsidRPr="00AD2F6E" w:rsidRDefault="0028179E" w:rsidP="005D7A56">
            <w:proofErr w:type="spellStart"/>
            <w:r w:rsidRPr="00AD2F6E">
              <w:t>LogRuleLaw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Rule of law in the African country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http://databank.worldbank.org/data/home.aspx</w:t>
            </w:r>
          </w:p>
        </w:tc>
      </w:tr>
      <w:tr w:rsidR="0028179E" w:rsidRPr="00AD2F6E" w:rsidTr="005D7A56">
        <w:tc>
          <w:tcPr>
            <w:tcW w:w="1800" w:type="dxa"/>
            <w:vAlign w:val="bottom"/>
          </w:tcPr>
          <w:p w:rsidR="0028179E" w:rsidRPr="00AD2F6E" w:rsidRDefault="0028179E" w:rsidP="005D7A56">
            <w:proofErr w:type="spellStart"/>
            <w:r w:rsidRPr="00AD2F6E">
              <w:t>LogPolStable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Political stability in the African country</w:t>
            </w:r>
          </w:p>
        </w:tc>
        <w:tc>
          <w:tcPr>
            <w:tcW w:w="288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http://databank.worldbank.org/data/home.aspx</w:t>
            </w:r>
          </w:p>
        </w:tc>
      </w:tr>
      <w:tr w:rsidR="0028179E" w:rsidRPr="00AD2F6E" w:rsidTr="005D7A56">
        <w:tc>
          <w:tcPr>
            <w:tcW w:w="1800" w:type="dxa"/>
            <w:vAlign w:val="bottom"/>
          </w:tcPr>
          <w:p w:rsidR="0028179E" w:rsidRPr="00AD2F6E" w:rsidRDefault="0028179E" w:rsidP="005D7A56">
            <w:proofErr w:type="spellStart"/>
            <w:r w:rsidRPr="00AD2F6E">
              <w:t>LogBilTrade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Bilateral trade</w:t>
            </w:r>
          </w:p>
        </w:tc>
        <w:tc>
          <w:tcPr>
            <w:tcW w:w="2880" w:type="dxa"/>
          </w:tcPr>
          <w:p w:rsidR="0028179E" w:rsidRPr="00AD2F6E" w:rsidRDefault="0028179E" w:rsidP="005D7A56">
            <w:r w:rsidRPr="00AD2F6E">
              <w:t>http://unctadstat.unctad.org/EN/</w:t>
            </w:r>
          </w:p>
        </w:tc>
      </w:tr>
      <w:tr w:rsidR="0028179E" w:rsidRPr="00AD2F6E" w:rsidTr="005D7A56">
        <w:tc>
          <w:tcPr>
            <w:tcW w:w="1800" w:type="dxa"/>
            <w:vAlign w:val="bottom"/>
          </w:tcPr>
          <w:p w:rsidR="0028179E" w:rsidRPr="00AD2F6E" w:rsidRDefault="0028179E" w:rsidP="005D7A56">
            <w:proofErr w:type="spellStart"/>
            <w:r w:rsidRPr="00AD2F6E">
              <w:t>LogImp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>Imports from Africa to Turkey</w:t>
            </w:r>
          </w:p>
        </w:tc>
        <w:tc>
          <w:tcPr>
            <w:tcW w:w="2880" w:type="dxa"/>
          </w:tcPr>
          <w:p w:rsidR="0028179E" w:rsidRPr="00AD2F6E" w:rsidRDefault="0028179E" w:rsidP="005D7A56">
            <w:r w:rsidRPr="00AD2F6E">
              <w:t>http://unctadstat.unctad.org/EN/</w:t>
            </w:r>
          </w:p>
        </w:tc>
      </w:tr>
      <w:tr w:rsidR="0028179E" w:rsidRPr="00AD2F6E" w:rsidTr="005D7A56">
        <w:tc>
          <w:tcPr>
            <w:tcW w:w="1800" w:type="dxa"/>
            <w:vAlign w:val="bottom"/>
          </w:tcPr>
          <w:p w:rsidR="0028179E" w:rsidRPr="00AD2F6E" w:rsidRDefault="0028179E" w:rsidP="005D7A56">
            <w:proofErr w:type="spellStart"/>
            <w:r w:rsidRPr="00AD2F6E">
              <w:t>LogExp</w:t>
            </w:r>
            <w:proofErr w:type="spellEnd"/>
          </w:p>
        </w:tc>
        <w:tc>
          <w:tcPr>
            <w:tcW w:w="3240" w:type="dxa"/>
          </w:tcPr>
          <w:p w:rsidR="0028179E" w:rsidRPr="00AD2F6E" w:rsidRDefault="0028179E" w:rsidP="005D7A5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D2F6E">
              <w:rPr>
                <w:rFonts w:ascii="Times New Roman" w:hAnsi="Times New Roman"/>
                <w:sz w:val="20"/>
                <w:szCs w:val="20"/>
              </w:rPr>
              <w:t xml:space="preserve">Imports from Turkey to Africa </w:t>
            </w:r>
          </w:p>
        </w:tc>
        <w:tc>
          <w:tcPr>
            <w:tcW w:w="2880" w:type="dxa"/>
          </w:tcPr>
          <w:p w:rsidR="0028179E" w:rsidRPr="00AD2F6E" w:rsidRDefault="0028179E" w:rsidP="005D7A56">
            <w:r w:rsidRPr="00AD2F6E">
              <w:t>http://unctadstat.unctad.org/EN/</w:t>
            </w:r>
          </w:p>
        </w:tc>
      </w:tr>
    </w:tbl>
    <w:p w:rsidR="0028179E" w:rsidRDefault="0028179E"/>
    <w:sectPr w:rsidR="0028179E" w:rsidSect="00543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applyBreakingRules/>
  </w:compat>
  <w:rsids>
    <w:rsidRoot w:val="006C1E0D"/>
    <w:rsid w:val="00021535"/>
    <w:rsid w:val="0028179E"/>
    <w:rsid w:val="00543239"/>
    <w:rsid w:val="006C1E0D"/>
    <w:rsid w:val="00833844"/>
    <w:rsid w:val="00BD4EC2"/>
    <w:rsid w:val="00E6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E0D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C1E0D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1E0D"/>
    <w:pPr>
      <w:widowControl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E0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28179E"/>
    <w:pPr>
      <w:widowControl/>
      <w:spacing w:after="200"/>
    </w:pPr>
    <w:rPr>
      <w:rFonts w:ascii="Calibri" w:eastAsia="Calibri" w:hAnsi="Calibri"/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bdi\Desktop\Final%20Thesis\Articles\Export-Impo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bdi\Desktop\Final%20Thesis\Articles\Export-Impor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bdi\Desktop\Final%20Thesis\Articles\Turkey-Africa%20FDI\FDI%20Statstics.xm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bdi\Desktop\Final%20Thesis\Articles\Turkey-Africa%20FDI\Copy%20of%20CDIS_Query_USD_Millions-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bdi\Desktop\Final%20Thesis\Articles\Turkey-Africa%20FDI%20Mod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/>
      <c:lineChart>
        <c:grouping val="standard"/>
        <c:ser>
          <c:idx val="0"/>
          <c:order val="0"/>
          <c:tx>
            <c:strRef>
              <c:f>'Export to Africa'!$A$7</c:f>
              <c:strCache>
                <c:ptCount val="1"/>
                <c:pt idx="0">
                  <c:v>Africa</c:v>
                </c:pt>
              </c:strCache>
            </c:strRef>
          </c:tx>
          <c:marker>
            <c:symbol val="none"/>
          </c:marker>
          <c:cat>
            <c:strRef>
              <c:f>'Export to Africa'!$B$6:$V$6</c:f>
              <c:strCache>
                <c:ptCount val="21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</c:strCache>
            </c:strRef>
          </c:cat>
          <c:val>
            <c:numRef>
              <c:f>'Export to Africa'!$B$7:$V$7</c:f>
              <c:numCache>
                <c:formatCode>#,##0</c:formatCode>
                <c:ptCount val="21"/>
                <c:pt idx="0">
                  <c:v>1063.4776260000001</c:v>
                </c:pt>
                <c:pt idx="1">
                  <c:v>1154.383071</c:v>
                </c:pt>
                <c:pt idx="2">
                  <c:v>1232.0403230000002</c:v>
                </c:pt>
                <c:pt idx="3">
                  <c:v>1808.9980520000001</c:v>
                </c:pt>
                <c:pt idx="4">
                  <c:v>1654.601453</c:v>
                </c:pt>
                <c:pt idx="5">
                  <c:v>1352.777378</c:v>
                </c:pt>
                <c:pt idx="6">
                  <c:v>1520.7875620000011</c:v>
                </c:pt>
                <c:pt idx="7">
                  <c:v>1681.7866640000011</c:v>
                </c:pt>
                <c:pt idx="8">
                  <c:v>2128.3858770000002</c:v>
                </c:pt>
                <c:pt idx="9">
                  <c:v>2965.6448809999793</c:v>
                </c:pt>
                <c:pt idx="10">
                  <c:v>3630.7077849999987</c:v>
                </c:pt>
                <c:pt idx="11">
                  <c:v>4564.5423110000002</c:v>
                </c:pt>
                <c:pt idx="12">
                  <c:v>5975.4511820000007</c:v>
                </c:pt>
                <c:pt idx="13">
                  <c:v>9059.0171429999991</c:v>
                </c:pt>
                <c:pt idx="14">
                  <c:v>10175.639031999999</c:v>
                </c:pt>
                <c:pt idx="15">
                  <c:v>9296.2689909999481</c:v>
                </c:pt>
                <c:pt idx="16">
                  <c:v>10330.462344000001</c:v>
                </c:pt>
                <c:pt idx="17">
                  <c:v>13355.304228000006</c:v>
                </c:pt>
                <c:pt idx="18">
                  <c:v>14138.841338</c:v>
                </c:pt>
                <c:pt idx="19">
                  <c:v>13750.764950999999</c:v>
                </c:pt>
                <c:pt idx="20">
                  <c:v>12444.304297000002</c:v>
                </c:pt>
              </c:numCache>
            </c:numRef>
          </c:val>
        </c:ser>
        <c:ser>
          <c:idx val="1"/>
          <c:order val="1"/>
          <c:tx>
            <c:strRef>
              <c:f>'Export to Africa'!$A$8</c:f>
              <c:strCache>
                <c:ptCount val="1"/>
                <c:pt idx="0">
                  <c:v>Northern Africa</c:v>
                </c:pt>
              </c:strCache>
            </c:strRef>
          </c:tx>
          <c:marker>
            <c:symbol val="none"/>
          </c:marker>
          <c:cat>
            <c:strRef>
              <c:f>'Export to Africa'!$B$6:$V$6</c:f>
              <c:strCache>
                <c:ptCount val="21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</c:strCache>
            </c:strRef>
          </c:cat>
          <c:val>
            <c:numRef>
              <c:f>'Export to Africa'!$B$8:$V$8</c:f>
              <c:numCache>
                <c:formatCode>#,##0</c:formatCode>
                <c:ptCount val="21"/>
                <c:pt idx="0">
                  <c:v>916.46703799999796</c:v>
                </c:pt>
                <c:pt idx="1">
                  <c:v>1003.6706280000001</c:v>
                </c:pt>
                <c:pt idx="2">
                  <c:v>1004.6309279999994</c:v>
                </c:pt>
                <c:pt idx="3">
                  <c:v>1533.6585319999999</c:v>
                </c:pt>
                <c:pt idx="4">
                  <c:v>1376.944176</c:v>
                </c:pt>
                <c:pt idx="5">
                  <c:v>1109.8199830000001</c:v>
                </c:pt>
                <c:pt idx="6">
                  <c:v>1204.2232859999999</c:v>
                </c:pt>
                <c:pt idx="7">
                  <c:v>1312.6546119999998</c:v>
                </c:pt>
                <c:pt idx="8">
                  <c:v>1638.1068459999999</c:v>
                </c:pt>
                <c:pt idx="9">
                  <c:v>2290.6026779999997</c:v>
                </c:pt>
                <c:pt idx="10">
                  <c:v>2689.4462689999987</c:v>
                </c:pt>
                <c:pt idx="11">
                  <c:v>3312.547415</c:v>
                </c:pt>
                <c:pt idx="12">
                  <c:v>4209.146745</c:v>
                </c:pt>
                <c:pt idx="13">
                  <c:v>6084.0197539999999</c:v>
                </c:pt>
                <c:pt idx="14">
                  <c:v>7691.076865</c:v>
                </c:pt>
                <c:pt idx="15">
                  <c:v>7268.5134740000003</c:v>
                </c:pt>
                <c:pt idx="16">
                  <c:v>6944.6938439999994</c:v>
                </c:pt>
                <c:pt idx="17">
                  <c:v>9724.7681289999891</c:v>
                </c:pt>
                <c:pt idx="18">
                  <c:v>10309.866006999981</c:v>
                </c:pt>
                <c:pt idx="19">
                  <c:v>10065.804877</c:v>
                </c:pt>
                <c:pt idx="20">
                  <c:v>8952.2609110000012</c:v>
                </c:pt>
              </c:numCache>
            </c:numRef>
          </c:val>
        </c:ser>
        <c:ser>
          <c:idx val="2"/>
          <c:order val="2"/>
          <c:tx>
            <c:strRef>
              <c:f>'Export to Africa'!$A$9</c:f>
              <c:strCache>
                <c:ptCount val="1"/>
                <c:pt idx="0">
                  <c:v>Sub-Saharan Africa</c:v>
                </c:pt>
              </c:strCache>
            </c:strRef>
          </c:tx>
          <c:marker>
            <c:symbol val="none"/>
          </c:marker>
          <c:cat>
            <c:strRef>
              <c:f>'Export to Africa'!$B$6:$V$6</c:f>
              <c:strCache>
                <c:ptCount val="21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</c:strCache>
            </c:strRef>
          </c:cat>
          <c:val>
            <c:numRef>
              <c:f>'Export to Africa'!$B$9:$V$9</c:f>
              <c:numCache>
                <c:formatCode>#,##0</c:formatCode>
                <c:ptCount val="21"/>
                <c:pt idx="0">
                  <c:v>164.64537799999999</c:v>
                </c:pt>
                <c:pt idx="1">
                  <c:v>172.15887499999999</c:v>
                </c:pt>
                <c:pt idx="2">
                  <c:v>253.23693900000001</c:v>
                </c:pt>
                <c:pt idx="3">
                  <c:v>309.449412</c:v>
                </c:pt>
                <c:pt idx="4">
                  <c:v>311.20507599999894</c:v>
                </c:pt>
                <c:pt idx="5">
                  <c:v>280.41931299999823</c:v>
                </c:pt>
                <c:pt idx="6">
                  <c:v>371.14089600000193</c:v>
                </c:pt>
                <c:pt idx="7">
                  <c:v>426.06496399999997</c:v>
                </c:pt>
                <c:pt idx="8">
                  <c:v>554.07006699999999</c:v>
                </c:pt>
                <c:pt idx="9">
                  <c:v>763.48423100000002</c:v>
                </c:pt>
                <c:pt idx="10">
                  <c:v>1086.4935449999998</c:v>
                </c:pt>
                <c:pt idx="11">
                  <c:v>1468.9616640000011</c:v>
                </c:pt>
                <c:pt idx="12">
                  <c:v>1946.0018399999999</c:v>
                </c:pt>
                <c:pt idx="13">
                  <c:v>3209.2200189999999</c:v>
                </c:pt>
                <c:pt idx="14">
                  <c:v>2729.3675750000002</c:v>
                </c:pt>
                <c:pt idx="15">
                  <c:v>2255.3427360000146</c:v>
                </c:pt>
                <c:pt idx="16">
                  <c:v>3629.491574000016</c:v>
                </c:pt>
                <c:pt idx="17">
                  <c:v>3910.2861669999998</c:v>
                </c:pt>
                <c:pt idx="18">
                  <c:v>4097.6376710000004</c:v>
                </c:pt>
                <c:pt idx="19">
                  <c:v>3992.8321490000012</c:v>
                </c:pt>
                <c:pt idx="20">
                  <c:v>3916.5979110000012</c:v>
                </c:pt>
              </c:numCache>
            </c:numRef>
          </c:val>
        </c:ser>
        <c:marker val="1"/>
        <c:axId val="97275264"/>
        <c:axId val="97277056"/>
      </c:lineChart>
      <c:catAx>
        <c:axId val="9727526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tr-TR"/>
          </a:p>
        </c:txPr>
        <c:crossAx val="97277056"/>
        <c:crosses val="autoZero"/>
        <c:auto val="1"/>
        <c:lblAlgn val="ctr"/>
        <c:lblOffset val="100"/>
      </c:catAx>
      <c:valAx>
        <c:axId val="97277056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tr-TR"/>
          </a:p>
        </c:txPr>
        <c:crossAx val="97275264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3409886264217714"/>
          <c:w val="0.93801801801801865"/>
          <c:h val="0.13812335958005251"/>
        </c:manualLayout>
      </c:layout>
      <c:txPr>
        <a:bodyPr/>
        <a:lstStyle/>
        <a:p>
          <a:pPr>
            <a:defRPr lang="en-US" sz="1000"/>
          </a:pPr>
          <a:endParaRPr lang="tr-T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>
        <c:manualLayout>
          <c:layoutTarget val="inner"/>
          <c:xMode val="edge"/>
          <c:yMode val="edge"/>
          <c:x val="0.10769427742732962"/>
          <c:y val="3.3902887139107614E-2"/>
          <c:w val="0.86478852432376563"/>
          <c:h val="0.65374628171478733"/>
        </c:manualLayout>
      </c:layout>
      <c:lineChart>
        <c:grouping val="standard"/>
        <c:ser>
          <c:idx val="0"/>
          <c:order val="0"/>
          <c:tx>
            <c:strRef>
              <c:f>'Imports from Africa'!$A$7</c:f>
              <c:strCache>
                <c:ptCount val="1"/>
                <c:pt idx="0">
                  <c:v>Africa</c:v>
                </c:pt>
              </c:strCache>
            </c:strRef>
          </c:tx>
          <c:marker>
            <c:symbol val="none"/>
          </c:marker>
          <c:cat>
            <c:strRef>
              <c:f>'Imports from Africa'!$B$6:$V$6</c:f>
              <c:strCache>
                <c:ptCount val="21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</c:strCache>
            </c:strRef>
          </c:cat>
          <c:val>
            <c:numRef>
              <c:f>'Imports from Africa'!$B$7:$V$7</c:f>
              <c:numCache>
                <c:formatCode>#,##0</c:formatCode>
                <c:ptCount val="21"/>
                <c:pt idx="0">
                  <c:v>1384.4480409999999</c:v>
                </c:pt>
                <c:pt idx="1">
                  <c:v>2028.005846</c:v>
                </c:pt>
                <c:pt idx="2">
                  <c:v>2197.3110540000207</c:v>
                </c:pt>
                <c:pt idx="3">
                  <c:v>1758.2064319999999</c:v>
                </c:pt>
                <c:pt idx="4">
                  <c:v>1686.8770770000001</c:v>
                </c:pt>
                <c:pt idx="5">
                  <c:v>2705.2953320000161</c:v>
                </c:pt>
                <c:pt idx="6">
                  <c:v>2818.6348689999859</c:v>
                </c:pt>
                <c:pt idx="7">
                  <c:v>2645.626702</c:v>
                </c:pt>
                <c:pt idx="8">
                  <c:v>3338.1596120000022</c:v>
                </c:pt>
                <c:pt idx="9">
                  <c:v>4820.3707240000003</c:v>
                </c:pt>
                <c:pt idx="10">
                  <c:v>6047.2031360000001</c:v>
                </c:pt>
                <c:pt idx="11">
                  <c:v>7404.5229140000292</c:v>
                </c:pt>
                <c:pt idx="12">
                  <c:v>6784.0642650000054</c:v>
                </c:pt>
                <c:pt idx="13">
                  <c:v>7770.1095880000012</c:v>
                </c:pt>
                <c:pt idx="14">
                  <c:v>5697.6316350000034</c:v>
                </c:pt>
                <c:pt idx="15">
                  <c:v>6411.0029890000014</c:v>
                </c:pt>
                <c:pt idx="16">
                  <c:v>6766.1118010000264</c:v>
                </c:pt>
                <c:pt idx="17">
                  <c:v>5921.9656980000054</c:v>
                </c:pt>
                <c:pt idx="18">
                  <c:v>6028.4128350000001</c:v>
                </c:pt>
                <c:pt idx="19">
                  <c:v>5937.9552550000008</c:v>
                </c:pt>
                <c:pt idx="20">
                  <c:v>5099.3450080000002</c:v>
                </c:pt>
              </c:numCache>
            </c:numRef>
          </c:val>
        </c:ser>
        <c:ser>
          <c:idx val="1"/>
          <c:order val="1"/>
          <c:tx>
            <c:strRef>
              <c:f>'Imports from Africa'!$A$8</c:f>
              <c:strCache>
                <c:ptCount val="1"/>
                <c:pt idx="0">
                  <c:v>Northern Africa</c:v>
                </c:pt>
              </c:strCache>
            </c:strRef>
          </c:tx>
          <c:marker>
            <c:symbol val="none"/>
          </c:marker>
          <c:cat>
            <c:strRef>
              <c:f>'Imports from Africa'!$B$6:$V$6</c:f>
              <c:strCache>
                <c:ptCount val="21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</c:strCache>
            </c:strRef>
          </c:cat>
          <c:val>
            <c:numRef>
              <c:f>'Imports from Africa'!$B$8:$V$8</c:f>
              <c:numCache>
                <c:formatCode>#,##0</c:formatCode>
                <c:ptCount val="21"/>
                <c:pt idx="0">
                  <c:v>1157.6121059999998</c:v>
                </c:pt>
                <c:pt idx="1">
                  <c:v>1613.202004</c:v>
                </c:pt>
                <c:pt idx="2">
                  <c:v>1821.887369</c:v>
                </c:pt>
                <c:pt idx="3">
                  <c:v>1504.872758</c:v>
                </c:pt>
                <c:pt idx="4">
                  <c:v>1410.9419010000001</c:v>
                </c:pt>
                <c:pt idx="5">
                  <c:v>2255.4084470000003</c:v>
                </c:pt>
                <c:pt idx="6">
                  <c:v>2116.0718370000022</c:v>
                </c:pt>
                <c:pt idx="7">
                  <c:v>2103.9745200000002</c:v>
                </c:pt>
                <c:pt idx="8">
                  <c:v>2525.8040440000004</c:v>
                </c:pt>
                <c:pt idx="9">
                  <c:v>3243.3129040000022</c:v>
                </c:pt>
                <c:pt idx="10">
                  <c:v>4220.0612330000322</c:v>
                </c:pt>
                <c:pt idx="11">
                  <c:v>4886.0199140000004</c:v>
                </c:pt>
                <c:pt idx="12">
                  <c:v>3624.792273</c:v>
                </c:pt>
                <c:pt idx="13">
                  <c:v>5276.4263170000004</c:v>
                </c:pt>
                <c:pt idx="14">
                  <c:v>3548.5976009999999</c:v>
                </c:pt>
                <c:pt idx="15">
                  <c:v>4309.8027430000002</c:v>
                </c:pt>
                <c:pt idx="16">
                  <c:v>3351.409455</c:v>
                </c:pt>
                <c:pt idx="17">
                  <c:v>3319.6917590000012</c:v>
                </c:pt>
                <c:pt idx="18">
                  <c:v>3534.721935</c:v>
                </c:pt>
                <c:pt idx="19">
                  <c:v>3447.9147540000022</c:v>
                </c:pt>
                <c:pt idx="20">
                  <c:v>3031.5680739999998</c:v>
                </c:pt>
              </c:numCache>
            </c:numRef>
          </c:val>
        </c:ser>
        <c:ser>
          <c:idx val="2"/>
          <c:order val="2"/>
          <c:tx>
            <c:strRef>
              <c:f>'Imports from Africa'!$A$9</c:f>
              <c:strCache>
                <c:ptCount val="1"/>
                <c:pt idx="0">
                  <c:v>Sub-Saharan Africa</c:v>
                </c:pt>
              </c:strCache>
            </c:strRef>
          </c:tx>
          <c:marker>
            <c:symbol val="none"/>
          </c:marker>
          <c:cat>
            <c:strRef>
              <c:f>'Imports from Africa'!$B$6:$V$6</c:f>
              <c:strCache>
                <c:ptCount val="21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</c:strCache>
            </c:strRef>
          </c:cat>
          <c:val>
            <c:numRef>
              <c:f>'Imports from Africa'!$B$9:$V$9</c:f>
              <c:numCache>
                <c:formatCode>#,##0</c:formatCode>
                <c:ptCount val="21"/>
                <c:pt idx="0">
                  <c:v>241.80291300000007</c:v>
                </c:pt>
                <c:pt idx="1">
                  <c:v>420.99093399999794</c:v>
                </c:pt>
                <c:pt idx="2">
                  <c:v>384.805474</c:v>
                </c:pt>
                <c:pt idx="3">
                  <c:v>265.13481199999995</c:v>
                </c:pt>
                <c:pt idx="4">
                  <c:v>282.94028000000031</c:v>
                </c:pt>
                <c:pt idx="5">
                  <c:v>454.47810299999765</c:v>
                </c:pt>
                <c:pt idx="6">
                  <c:v>703.95487500000002</c:v>
                </c:pt>
                <c:pt idx="7">
                  <c:v>554.05693999999949</c:v>
                </c:pt>
                <c:pt idx="8">
                  <c:v>819.49919899999998</c:v>
                </c:pt>
                <c:pt idx="9">
                  <c:v>1589.13681</c:v>
                </c:pt>
                <c:pt idx="10">
                  <c:v>1835.09654</c:v>
                </c:pt>
                <c:pt idx="11">
                  <c:v>2526.1256660000004</c:v>
                </c:pt>
                <c:pt idx="12">
                  <c:v>3167.6719540000022</c:v>
                </c:pt>
                <c:pt idx="13">
                  <c:v>2502.8909270000022</c:v>
                </c:pt>
                <c:pt idx="14">
                  <c:v>2156.2962319999997</c:v>
                </c:pt>
                <c:pt idx="15">
                  <c:v>2106.4149770000022</c:v>
                </c:pt>
                <c:pt idx="16">
                  <c:v>3424.0724150000001</c:v>
                </c:pt>
                <c:pt idx="17">
                  <c:v>2613.4453560000161</c:v>
                </c:pt>
                <c:pt idx="18">
                  <c:v>2520.0209950000003</c:v>
                </c:pt>
                <c:pt idx="19">
                  <c:v>2502.1908859999839</c:v>
                </c:pt>
                <c:pt idx="20">
                  <c:v>2092.384047</c:v>
                </c:pt>
              </c:numCache>
            </c:numRef>
          </c:val>
        </c:ser>
        <c:marker val="1"/>
        <c:axId val="97298304"/>
        <c:axId val="97299840"/>
      </c:lineChart>
      <c:catAx>
        <c:axId val="9729830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tr-TR"/>
          </a:p>
        </c:txPr>
        <c:crossAx val="97299840"/>
        <c:crosses val="autoZero"/>
        <c:auto val="1"/>
        <c:lblAlgn val="ctr"/>
        <c:lblOffset val="100"/>
      </c:catAx>
      <c:valAx>
        <c:axId val="97299840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/>
            </a:pPr>
            <a:endParaRPr lang="tr-TR"/>
          </a:p>
        </c:txPr>
        <c:crossAx val="972983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7707466799208245E-2"/>
          <c:y val="0.8340988626421767"/>
          <c:w val="0.94458471760797369"/>
          <c:h val="0.13812335958005251"/>
        </c:manualLayout>
      </c:layout>
      <c:txPr>
        <a:bodyPr/>
        <a:lstStyle/>
        <a:p>
          <a:pPr>
            <a:defRPr lang="en-US" sz="800"/>
          </a:pPr>
          <a:endParaRPr lang="tr-TR"/>
        </a:p>
      </c:txPr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>
        <c:manualLayout>
          <c:layoutTarget val="inner"/>
          <c:xMode val="edge"/>
          <c:yMode val="edge"/>
          <c:x val="0.15835655158489864"/>
          <c:y val="4.7102402688095873E-2"/>
          <c:w val="0.69391900531664308"/>
          <c:h val="0.80108237814045158"/>
        </c:manualLayout>
      </c:layout>
      <c:lineChart>
        <c:grouping val="standard"/>
        <c:ser>
          <c:idx val="0"/>
          <c:order val="0"/>
          <c:tx>
            <c:strRef>
              <c:f>Sheet6!$A$2</c:f>
              <c:strCache>
                <c:ptCount val="1"/>
                <c:pt idx="0">
                  <c:v>Africa</c:v>
                </c:pt>
              </c:strCache>
            </c:strRef>
          </c:tx>
          <c:cat>
            <c:numRef>
              <c:f>Sheet6!$B$1:$N$1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Sheet6!$B$2:$N$2</c:f>
              <c:numCache>
                <c:formatCode>#,##0.0_ ;\-#,##0.0\ </c:formatCode>
                <c:ptCount val="13"/>
                <c:pt idx="0">
                  <c:v>22</c:v>
                </c:pt>
                <c:pt idx="1">
                  <c:v>60</c:v>
                </c:pt>
                <c:pt idx="2">
                  <c:v>67</c:v>
                </c:pt>
                <c:pt idx="3">
                  <c:v>72</c:v>
                </c:pt>
                <c:pt idx="4">
                  <c:v>86</c:v>
                </c:pt>
                <c:pt idx="5">
                  <c:v>90</c:v>
                </c:pt>
                <c:pt idx="6">
                  <c:v>173</c:v>
                </c:pt>
                <c:pt idx="7">
                  <c:v>381</c:v>
                </c:pt>
                <c:pt idx="8">
                  <c:v>470</c:v>
                </c:pt>
                <c:pt idx="9">
                  <c:v>831</c:v>
                </c:pt>
                <c:pt idx="10">
                  <c:v>845</c:v>
                </c:pt>
                <c:pt idx="11">
                  <c:v>799</c:v>
                </c:pt>
                <c:pt idx="12">
                  <c:v>991</c:v>
                </c:pt>
              </c:numCache>
            </c:numRef>
          </c:val>
        </c:ser>
        <c:ser>
          <c:idx val="1"/>
          <c:order val="1"/>
          <c:tx>
            <c:strRef>
              <c:f>Sheet6!$A$3</c:f>
              <c:strCache>
                <c:ptCount val="1"/>
                <c:pt idx="0">
                  <c:v>N.Africa</c:v>
                </c:pt>
              </c:strCache>
            </c:strRef>
          </c:tx>
          <c:cat>
            <c:numRef>
              <c:f>Sheet6!$B$1:$N$1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Sheet6!$B$3:$N$3</c:f>
              <c:numCache>
                <c:formatCode>#,##0.0_ ;\-#,##0.0\ </c:formatCode>
                <c:ptCount val="13"/>
                <c:pt idx="0">
                  <c:v>5</c:v>
                </c:pt>
                <c:pt idx="1">
                  <c:v>49</c:v>
                </c:pt>
                <c:pt idx="2">
                  <c:v>53</c:v>
                </c:pt>
                <c:pt idx="3">
                  <c:v>58</c:v>
                </c:pt>
                <c:pt idx="4">
                  <c:v>71</c:v>
                </c:pt>
                <c:pt idx="5">
                  <c:v>78</c:v>
                </c:pt>
                <c:pt idx="6">
                  <c:v>151</c:v>
                </c:pt>
                <c:pt idx="7">
                  <c:v>335</c:v>
                </c:pt>
                <c:pt idx="8">
                  <c:v>437</c:v>
                </c:pt>
                <c:pt idx="9">
                  <c:v>756</c:v>
                </c:pt>
                <c:pt idx="10">
                  <c:v>766</c:v>
                </c:pt>
                <c:pt idx="11">
                  <c:v>654</c:v>
                </c:pt>
                <c:pt idx="12">
                  <c:v>826</c:v>
                </c:pt>
              </c:numCache>
            </c:numRef>
          </c:val>
        </c:ser>
        <c:ser>
          <c:idx val="7"/>
          <c:order val="2"/>
          <c:tx>
            <c:strRef>
              <c:f>Sheet6!$A$9</c:f>
              <c:strCache>
                <c:ptCount val="1"/>
                <c:pt idx="0">
                  <c:v>S.S. Africa</c:v>
                </c:pt>
              </c:strCache>
            </c:strRef>
          </c:tx>
          <c:cat>
            <c:numRef>
              <c:f>Sheet6!$B$1:$N$1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Sheet6!$B$9:$N$9</c:f>
              <c:numCache>
                <c:formatCode>#,##0.0_ ;\-#,##0.0\ </c:formatCode>
                <c:ptCount val="13"/>
                <c:pt idx="0">
                  <c:v>17</c:v>
                </c:pt>
                <c:pt idx="1">
                  <c:v>11</c:v>
                </c:pt>
                <c:pt idx="2">
                  <c:v>14</c:v>
                </c:pt>
                <c:pt idx="3">
                  <c:v>14</c:v>
                </c:pt>
                <c:pt idx="4">
                  <c:v>15</c:v>
                </c:pt>
                <c:pt idx="5">
                  <c:v>12</c:v>
                </c:pt>
                <c:pt idx="6">
                  <c:v>22</c:v>
                </c:pt>
                <c:pt idx="7">
                  <c:v>46</c:v>
                </c:pt>
                <c:pt idx="8">
                  <c:v>33</c:v>
                </c:pt>
                <c:pt idx="9">
                  <c:v>75</c:v>
                </c:pt>
                <c:pt idx="10">
                  <c:v>79</c:v>
                </c:pt>
                <c:pt idx="11">
                  <c:v>145</c:v>
                </c:pt>
                <c:pt idx="12">
                  <c:v>165</c:v>
                </c:pt>
              </c:numCache>
            </c:numRef>
          </c:val>
        </c:ser>
        <c:marker val="1"/>
        <c:axId val="102308864"/>
        <c:axId val="102331136"/>
      </c:lineChart>
      <c:catAx>
        <c:axId val="1023088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900"/>
            </a:pPr>
            <a:endParaRPr lang="tr-TR"/>
          </a:p>
        </c:txPr>
        <c:crossAx val="102331136"/>
        <c:crosses val="autoZero"/>
        <c:auto val="1"/>
        <c:lblAlgn val="ctr"/>
        <c:lblOffset val="100"/>
      </c:catAx>
      <c:valAx>
        <c:axId val="102331136"/>
        <c:scaling>
          <c:orientation val="minMax"/>
        </c:scaling>
        <c:axPos val="l"/>
        <c:majorGridlines/>
        <c:numFmt formatCode="#,##0.0_ ;\-#,##0.0\ " sourceLinked="1"/>
        <c:majorTickMark val="none"/>
        <c:tickLblPos val="nextTo"/>
        <c:txPr>
          <a:bodyPr/>
          <a:lstStyle/>
          <a:p>
            <a:pPr>
              <a:defRPr lang="en-US" sz="900"/>
            </a:pPr>
            <a:endParaRPr lang="tr-TR"/>
          </a:p>
        </c:txPr>
        <c:crossAx val="102308864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 sz="900"/>
          </a:pPr>
          <a:endParaRPr lang="tr-TR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>
        <c:manualLayout>
          <c:layoutTarget val="inner"/>
          <c:xMode val="edge"/>
          <c:yMode val="edge"/>
          <c:x val="5.4552796285079794E-2"/>
          <c:y val="2.3640661938534268E-2"/>
          <c:w val="0.91920987515201025"/>
          <c:h val="0.63631242903147744"/>
        </c:manualLayout>
      </c:layout>
      <c:bar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-6.8027210884353834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tr-TR"/>
              </a:p>
            </c:txPr>
            <c:showVal val="1"/>
          </c:dLbls>
          <c:cat>
            <c:strRef>
              <c:f>Sheet1!$E$2:$E$17</c:f>
              <c:strCache>
                <c:ptCount val="16"/>
                <c:pt idx="0">
                  <c:v>N. Africa</c:v>
                </c:pt>
                <c:pt idx="1">
                  <c:v>S.S. Africa</c:v>
                </c:pt>
                <c:pt idx="2">
                  <c:v>Egypt</c:v>
                </c:pt>
                <c:pt idx="3">
                  <c:v>Ethiopia</c:v>
                </c:pt>
                <c:pt idx="4">
                  <c:v>Algeria</c:v>
                </c:pt>
                <c:pt idx="5">
                  <c:v>Libya</c:v>
                </c:pt>
                <c:pt idx="6">
                  <c:v>Nigeria</c:v>
                </c:pt>
                <c:pt idx="7">
                  <c:v>Tunisia</c:v>
                </c:pt>
                <c:pt idx="8">
                  <c:v>Morocco</c:v>
                </c:pt>
                <c:pt idx="9">
                  <c:v>Cameroon</c:v>
                </c:pt>
                <c:pt idx="10">
                  <c:v>Sudan</c:v>
                </c:pt>
                <c:pt idx="11">
                  <c:v>Senegal</c:v>
                </c:pt>
                <c:pt idx="12">
                  <c:v>Gabon</c:v>
                </c:pt>
                <c:pt idx="13">
                  <c:v>S.Africa</c:v>
                </c:pt>
                <c:pt idx="14">
                  <c:v>Kenya</c:v>
                </c:pt>
                <c:pt idx="15">
                  <c:v>Ghana</c:v>
                </c:pt>
              </c:strCache>
            </c:strRef>
          </c:cat>
          <c:val>
            <c:numRef>
              <c:f>Sheet1!$F$2:$F$17</c:f>
              <c:numCache>
                <c:formatCode>#,##0</c:formatCode>
                <c:ptCount val="16"/>
                <c:pt idx="0">
                  <c:v>649</c:v>
                </c:pt>
                <c:pt idx="1">
                  <c:v>375</c:v>
                </c:pt>
                <c:pt idx="2">
                  <c:v>279</c:v>
                </c:pt>
                <c:pt idx="3">
                  <c:v>242</c:v>
                </c:pt>
                <c:pt idx="4">
                  <c:v>159</c:v>
                </c:pt>
                <c:pt idx="5">
                  <c:v>127</c:v>
                </c:pt>
                <c:pt idx="6">
                  <c:v>74</c:v>
                </c:pt>
                <c:pt idx="7">
                  <c:v>51</c:v>
                </c:pt>
                <c:pt idx="8">
                  <c:v>33</c:v>
                </c:pt>
                <c:pt idx="9">
                  <c:v>21</c:v>
                </c:pt>
                <c:pt idx="10">
                  <c:v>19</c:v>
                </c:pt>
                <c:pt idx="11">
                  <c:v>18</c:v>
                </c:pt>
                <c:pt idx="12">
                  <c:v>6</c:v>
                </c:pt>
                <c:pt idx="13">
                  <c:v>3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</c:ser>
        <c:dLbls>
          <c:showVal val="1"/>
        </c:dLbls>
        <c:overlap val="-25"/>
        <c:axId val="102338944"/>
        <c:axId val="102340480"/>
      </c:barChart>
      <c:catAx>
        <c:axId val="1023389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tr-TR"/>
          </a:p>
        </c:txPr>
        <c:crossAx val="102340480"/>
        <c:crosses val="autoZero"/>
        <c:auto val="1"/>
        <c:lblAlgn val="ctr"/>
        <c:lblOffset val="100"/>
      </c:catAx>
      <c:valAx>
        <c:axId val="102340480"/>
        <c:scaling>
          <c:orientation val="minMax"/>
        </c:scaling>
        <c:delete val="1"/>
        <c:axPos val="l"/>
        <c:numFmt formatCode="#,##0" sourceLinked="1"/>
        <c:majorTickMark val="none"/>
        <c:tickLblPos val="none"/>
        <c:crossAx val="10233894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>
        <c:manualLayout>
          <c:layoutTarget val="inner"/>
          <c:xMode val="edge"/>
          <c:yMode val="edge"/>
          <c:x val="0.13625437445319341"/>
          <c:y val="0"/>
          <c:w val="0.66638035870516188"/>
          <c:h val="0.97222666315646711"/>
        </c:manualLayout>
      </c:layout>
      <c:pieChart>
        <c:varyColors val="1"/>
        <c:ser>
          <c:idx val="0"/>
          <c:order val="0"/>
          <c:dLbls>
            <c:dLbl>
              <c:idx val="9"/>
              <c:layout>
                <c:manualLayout>
                  <c:x val="-3.0292979002624804E-2"/>
                  <c:y val="-8.1209104181126299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en-US" sz="800"/>
                </a:pPr>
                <a:endParaRPr lang="tr-TR"/>
              </a:p>
            </c:txPr>
            <c:showCatName val="1"/>
            <c:showPercent val="1"/>
            <c:showLeaderLines val="1"/>
          </c:dLbls>
          <c:cat>
            <c:strRef>
              <c:f>Sheet2!$C$5:$C$15</c:f>
              <c:strCache>
                <c:ptCount val="11"/>
                <c:pt idx="0">
                  <c:v>Turkey </c:v>
                </c:pt>
                <c:pt idx="1">
                  <c:v>UAE</c:v>
                </c:pt>
                <c:pt idx="2">
                  <c:v>USA</c:v>
                </c:pt>
                <c:pt idx="3">
                  <c:v>China</c:v>
                </c:pt>
                <c:pt idx="4">
                  <c:v>France</c:v>
                </c:pt>
                <c:pt idx="5">
                  <c:v>S.Africa </c:v>
                </c:pt>
                <c:pt idx="6">
                  <c:v>India </c:v>
                </c:pt>
                <c:pt idx="7">
                  <c:v>UK</c:v>
                </c:pt>
                <c:pt idx="8">
                  <c:v>Zimbabwe</c:v>
                </c:pt>
                <c:pt idx="9">
                  <c:v>Belgium</c:v>
                </c:pt>
                <c:pt idx="10">
                  <c:v>Others </c:v>
                </c:pt>
              </c:strCache>
            </c:strRef>
          </c:cat>
          <c:val>
            <c:numRef>
              <c:f>Sheet2!$D$5:$D$15</c:f>
              <c:numCache>
                <c:formatCode>#,##0</c:formatCode>
                <c:ptCount val="11"/>
                <c:pt idx="0">
                  <c:v>16592</c:v>
                </c:pt>
                <c:pt idx="1">
                  <c:v>14771</c:v>
                </c:pt>
                <c:pt idx="2">
                  <c:v>12943</c:v>
                </c:pt>
                <c:pt idx="3">
                  <c:v>10811</c:v>
                </c:pt>
                <c:pt idx="4">
                  <c:v>8952</c:v>
                </c:pt>
                <c:pt idx="5">
                  <c:v>6984</c:v>
                </c:pt>
                <c:pt idx="6">
                  <c:v>6193</c:v>
                </c:pt>
                <c:pt idx="7">
                  <c:v>6152</c:v>
                </c:pt>
                <c:pt idx="8">
                  <c:v>5429</c:v>
                </c:pt>
                <c:pt idx="9">
                  <c:v>5389</c:v>
                </c:pt>
                <c:pt idx="10">
                  <c:v>54960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</dc:creator>
  <cp:lastModifiedBy>Bilal</cp:lastModifiedBy>
  <cp:revision>2</cp:revision>
  <dcterms:created xsi:type="dcterms:W3CDTF">2017-12-13T19:57:00Z</dcterms:created>
  <dcterms:modified xsi:type="dcterms:W3CDTF">2017-12-13T19:57:00Z</dcterms:modified>
</cp:coreProperties>
</file>