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2BDD" w14:textId="77777777" w:rsidR="00D67E1B" w:rsidRDefault="00AF4140">
      <w:pPr>
        <w:pStyle w:val="Heading3"/>
        <w:shd w:val="clear" w:color="auto" w:fill="FFFFFF"/>
        <w:spacing w:before="0"/>
        <w:ind w:right="-2"/>
        <w:jc w:val="center"/>
        <w:rPr>
          <w:rFonts w:ascii="TimesNewRomanPS-BoldMT" w:hAnsi="TimesNewRomanPS-BoldMT" w:cs="TimesNewRomanPS-BoldMT"/>
          <w:sz w:val="32"/>
          <w:szCs w:val="32"/>
          <w:lang w:val="en-US"/>
        </w:rPr>
      </w:pPr>
      <w:r>
        <w:rPr>
          <w:rFonts w:ascii="TimesNewRomanPS-BoldMT" w:hAnsi="TimesNewRomanPS-BoldMT" w:cs="TimesNewRomanPS-BoldMT"/>
          <w:sz w:val="32"/>
          <w:szCs w:val="32"/>
          <w:lang w:val="en-US"/>
        </w:rPr>
        <w:t>Volatility stylized facts In the Moroccan Stock          Market: Evidence from both aggregate and      disaggregate data</w:t>
      </w:r>
    </w:p>
    <w:p w14:paraId="373D770E" w14:textId="77777777" w:rsidR="00D67E1B" w:rsidRDefault="00AF4140">
      <w:pPr>
        <w:pStyle w:val="FootnoteText"/>
        <w:ind w:firstLine="0"/>
        <w:jc w:val="center"/>
      </w:pPr>
      <w:bookmarkStart w:id="0" w:name="_Hlk41255929"/>
      <w:r>
        <w:rPr>
          <w:sz w:val="22"/>
          <w:szCs w:val="22"/>
        </w:rPr>
        <w:t>Moulay Driss ELBOUSTY</w:t>
      </w:r>
      <w:r>
        <w:rPr>
          <w:sz w:val="22"/>
          <w:szCs w:val="22"/>
          <w:vertAlign w:val="superscript"/>
        </w:rPr>
        <w:t>1 (*)</w:t>
      </w:r>
      <w:r>
        <w:rPr>
          <w:sz w:val="22"/>
          <w:szCs w:val="22"/>
        </w:rPr>
        <w:t xml:space="preserve"> </w:t>
      </w:r>
      <w:r>
        <w:rPr>
          <w:sz w:val="22"/>
          <w:szCs w:val="22"/>
          <w:lang w:val="en-GB"/>
        </w:rPr>
        <w:t>Lahsen OUBDI</w:t>
      </w:r>
      <w:r>
        <w:rPr>
          <w:sz w:val="22"/>
          <w:szCs w:val="22"/>
          <w:vertAlign w:val="superscript"/>
        </w:rPr>
        <w:t xml:space="preserve"> (2)</w:t>
      </w:r>
    </w:p>
    <w:p w14:paraId="4C0D2FA6" w14:textId="77777777" w:rsidR="00D67E1B" w:rsidRDefault="00D67E1B">
      <w:pPr>
        <w:pStyle w:val="FootnoteText"/>
        <w:ind w:firstLine="0"/>
        <w:jc w:val="center"/>
        <w:rPr>
          <w:sz w:val="22"/>
          <w:szCs w:val="22"/>
          <w:vertAlign w:val="superscript"/>
        </w:rPr>
      </w:pPr>
    </w:p>
    <w:p w14:paraId="30E9CBCC" w14:textId="77777777" w:rsidR="00D67E1B" w:rsidRDefault="00AF4140">
      <w:r>
        <w:rPr>
          <w:vertAlign w:val="superscript"/>
        </w:rPr>
        <w:t>(1)</w:t>
      </w:r>
      <w:r>
        <w:t xml:space="preserve"> Research in Entrepreneurship, Finance and Audit Laboratory </w:t>
      </w:r>
      <w:r>
        <w:t xml:space="preserve">(LAREFA), ENCG, Ibn Zohr University, Agadir, Morocco. Email: </w:t>
      </w:r>
      <w:hyperlink r:id="rId6" w:history="1">
        <w:r>
          <w:rPr>
            <w:color w:val="4472C4"/>
            <w:u w:val="single"/>
            <w:lang w:val="en-GB"/>
          </w:rPr>
          <w:t>moulaydriss.elbousty@edu.uiz.ac.ma</w:t>
        </w:r>
      </w:hyperlink>
    </w:p>
    <w:p w14:paraId="143C1872" w14:textId="77777777" w:rsidR="00D67E1B" w:rsidRDefault="00AF4140">
      <w:r>
        <w:rPr>
          <w:vertAlign w:val="superscript"/>
        </w:rPr>
        <w:t>(2)</w:t>
      </w:r>
      <w:r>
        <w:t xml:space="preserve"> Research in Entrepreneurship, Finance and Audit Laboratory (LAREFA), ENCG, Ibn Zohr University, A</w:t>
      </w:r>
      <w:r>
        <w:t xml:space="preserve">gadir, Morocco. Email: </w:t>
      </w:r>
      <w:hyperlink r:id="rId7" w:history="1">
        <w:r>
          <w:rPr>
            <w:color w:val="4472C4"/>
            <w:u w:val="single"/>
            <w:lang w:val="en-GB"/>
          </w:rPr>
          <w:t>l.oubdi@uiz.ac.ma</w:t>
        </w:r>
      </w:hyperlink>
    </w:p>
    <w:p w14:paraId="60827DE4" w14:textId="77777777" w:rsidR="00D67E1B" w:rsidRDefault="00AF4140">
      <w:r>
        <w:rPr>
          <w:vertAlign w:val="superscript"/>
        </w:rPr>
        <w:t xml:space="preserve">(*) </w:t>
      </w:r>
      <w:r>
        <w:t>Corresponding Author</w:t>
      </w:r>
    </w:p>
    <w:bookmarkEnd w:id="0"/>
    <w:p w14:paraId="092481AD" w14:textId="77777777" w:rsidR="00D67E1B" w:rsidRDefault="00AF4140">
      <w:pPr>
        <w:pStyle w:val="Default"/>
        <w:spacing w:before="240"/>
        <w:ind w:firstLine="360"/>
        <w:jc w:val="both"/>
        <w:rPr>
          <w:b/>
          <w:bCs/>
          <w:lang w:val="en-US"/>
        </w:rPr>
      </w:pPr>
      <w:r>
        <w:rPr>
          <w:b/>
          <w:bCs/>
          <w:lang w:val="en-US"/>
        </w:rPr>
        <w:t>Abstract</w:t>
      </w:r>
    </w:p>
    <w:p w14:paraId="588F8843" w14:textId="77777777" w:rsidR="00D67E1B" w:rsidRPr="00122BF8" w:rsidRDefault="00AF4140">
      <w:pPr>
        <w:pStyle w:val="Default"/>
        <w:ind w:firstLine="360"/>
        <w:jc w:val="both"/>
        <w:rPr>
          <w:lang w:val="en-US"/>
        </w:rPr>
      </w:pPr>
      <w:r>
        <w:rPr>
          <w:sz w:val="20"/>
          <w:szCs w:val="20"/>
          <w:lang w:val="en-US"/>
        </w:rPr>
        <w:t>Financial markets in emerging countries are generating considerable literature, aiming to understand their organization, perspective, and p</w:t>
      </w:r>
      <w:r>
        <w:rPr>
          <w:sz w:val="20"/>
          <w:szCs w:val="20"/>
          <w:lang w:val="en-US"/>
        </w:rPr>
        <w:t>erformance. In this context, few studies have expressed interest in the Moroccan financial market and even fewer researches have addressed the issue of the Moroccan financial market volatility. In this paper, we investigate variety of common properties, la</w:t>
      </w:r>
      <w:r>
        <w:rPr>
          <w:sz w:val="20"/>
          <w:szCs w:val="20"/>
          <w:lang w:val="en-US"/>
        </w:rPr>
        <w:t>belled as “stylized facts. Our results show that global and sectoral indices of Moroccan Stock Market share the majority of stylized facts. In fact, absolute returns correlation coefficients are positive and tends to decay at a much slower pace. Hence, vol</w:t>
      </w:r>
      <w:r>
        <w:rPr>
          <w:sz w:val="20"/>
          <w:szCs w:val="20"/>
          <w:lang w:val="en-US"/>
        </w:rPr>
        <w:t>atility of Moroccan Stock Market captures the properties of volatility clustering and long memory. We also find evidence of volatility asymmetry. Yet, the level is not statistically significant for most of the indices. More interestingly, the Omori law ind</w:t>
      </w:r>
      <w:r>
        <w:rPr>
          <w:sz w:val="20"/>
          <w:szCs w:val="20"/>
          <w:lang w:val="en-US"/>
        </w:rPr>
        <w:t xml:space="preserve">icates that Moroccan Stock market is relatively stable after financial shocks. </w:t>
      </w:r>
    </w:p>
    <w:p w14:paraId="156B57F2" w14:textId="77777777" w:rsidR="00D67E1B" w:rsidRDefault="00AF4140">
      <w:pPr>
        <w:ind w:firstLine="360"/>
        <w:jc w:val="both"/>
      </w:pPr>
      <w:r>
        <w:rPr>
          <w:rFonts w:eastAsia="Calibri"/>
          <w:b/>
          <w:bCs/>
          <w:color w:val="000000"/>
        </w:rPr>
        <w:t>Keywords</w:t>
      </w:r>
      <w:r>
        <w:rPr>
          <w:rFonts w:eastAsia="Calibri"/>
          <w:b/>
          <w:bCs/>
          <w:color w:val="000000"/>
          <w:sz w:val="22"/>
          <w:szCs w:val="22"/>
        </w:rPr>
        <w:t xml:space="preserve">: </w:t>
      </w:r>
      <w:r>
        <w:rPr>
          <w:rFonts w:eastAsia="Calibri"/>
          <w:color w:val="000000"/>
        </w:rPr>
        <w:t xml:space="preserve">Asymmetry, long memory, multifractality Omori Law, Stylized facts, Volatility  </w:t>
      </w:r>
    </w:p>
    <w:p w14:paraId="52199E14" w14:textId="77777777" w:rsidR="00D67E1B" w:rsidRDefault="00AF4140">
      <w:pPr>
        <w:ind w:firstLine="360"/>
        <w:jc w:val="both"/>
      </w:pPr>
      <w:r>
        <w:rPr>
          <w:rFonts w:eastAsia="Calibri"/>
          <w:b/>
          <w:bCs/>
          <w:color w:val="000000"/>
        </w:rPr>
        <w:t>JEL Class:</w:t>
      </w:r>
      <w:r>
        <w:rPr>
          <w:rFonts w:eastAsia="Calibri"/>
          <w:color w:val="000000"/>
        </w:rPr>
        <w:t xml:space="preserve"> G11, G17, C53, C58</w:t>
      </w:r>
    </w:p>
    <w:p w14:paraId="3BD243D3" w14:textId="77777777" w:rsidR="00D67E1B" w:rsidRDefault="00D67E1B"/>
    <w:p w14:paraId="0C80D856" w14:textId="77777777" w:rsidR="00D67E1B" w:rsidRDefault="00D67E1B"/>
    <w:p w14:paraId="45F8172F" w14:textId="77777777" w:rsidR="00D67E1B" w:rsidRDefault="00D67E1B"/>
    <w:p w14:paraId="599E4BE7" w14:textId="77777777" w:rsidR="00D67E1B" w:rsidRDefault="00D67E1B">
      <w:pPr>
        <w:jc w:val="center"/>
        <w:rPr>
          <w:sz w:val="22"/>
          <w:szCs w:val="22"/>
        </w:rPr>
      </w:pPr>
    </w:p>
    <w:sectPr w:rsidR="00D67E1B">
      <w:pgSz w:w="11906" w:h="16838"/>
      <w:pgMar w:top="1701" w:right="2552" w:bottom="1701"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56BA6" w14:textId="77777777" w:rsidR="00AF4140" w:rsidRDefault="00AF4140">
      <w:r>
        <w:separator/>
      </w:r>
    </w:p>
  </w:endnote>
  <w:endnote w:type="continuationSeparator" w:id="0">
    <w:p w14:paraId="6D96F640" w14:textId="77777777" w:rsidR="00AF4140" w:rsidRDefault="00AF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44B0" w14:textId="77777777" w:rsidR="00AF4140" w:rsidRDefault="00AF4140">
      <w:r>
        <w:rPr>
          <w:color w:val="000000"/>
        </w:rPr>
        <w:separator/>
      </w:r>
    </w:p>
  </w:footnote>
  <w:footnote w:type="continuationSeparator" w:id="0">
    <w:p w14:paraId="32B8CB65" w14:textId="77777777" w:rsidR="00AF4140" w:rsidRDefault="00AF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7E1B"/>
    <w:rsid w:val="00122BF8"/>
    <w:rsid w:val="00AF4140"/>
    <w:rsid w:val="00D35F25"/>
    <w:rsid w:val="00D67E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3FF"/>
  <w15:docId w15:val="{DD40510A-DD71-4EB4-B2BC-A29C5055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uiPriority w:val="9"/>
    <w:unhideWhenUsed/>
    <w:qFormat/>
    <w:pPr>
      <w:keepNext/>
      <w:autoSpaceDE/>
      <w:spacing w:before="240" w:after="60"/>
      <w:outlineLvl w:val="2"/>
    </w:pPr>
    <w:rPr>
      <w:rFonts w:ascii="Arial" w:hAnsi="Arial" w:cs="Arial"/>
      <w:b/>
      <w:b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Arial"/>
      <w:b/>
      <w:bCs/>
      <w:sz w:val="26"/>
      <w:szCs w:val="26"/>
      <w:lang w:eastAsia="fr-FR"/>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FootnoteText">
    <w:name w:val="footnote text"/>
    <w:basedOn w:val="Normal"/>
    <w:pPr>
      <w:ind w:firstLine="202"/>
      <w:jc w:val="both"/>
    </w:pPr>
    <w:rPr>
      <w:sz w:val="16"/>
      <w:szCs w:val="16"/>
    </w:rPr>
  </w:style>
  <w:style w:type="character" w:customStyle="1" w:styleId="FootnoteTextChar">
    <w:name w:val="Footnote Text Char"/>
    <w:basedOn w:val="DefaultParagraphFont"/>
    <w:rPr>
      <w:rFonts w:ascii="Times New Roman" w:eastAsia="Times New Roman" w:hAnsi="Times New Roman" w:cs="Times New Roman"/>
      <w:sz w:val="16"/>
      <w:szCs w:val="16"/>
      <w:lang w:val="en-U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122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F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ubdi@uiz.ac.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ulaydriss.elbousty@edu.uiz.ac.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dc:description/>
  <cp:lastModifiedBy>YOGA</cp:lastModifiedBy>
  <cp:revision>2</cp:revision>
  <dcterms:created xsi:type="dcterms:W3CDTF">2020-05-25T00:01:00Z</dcterms:created>
  <dcterms:modified xsi:type="dcterms:W3CDTF">2020-05-25T00:01:00Z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