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AC4" w:rsidRDefault="00C22AC4" w:rsidP="00C22AC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22AC4">
        <w:drawing>
          <wp:inline distT="0" distB="0" distL="0" distR="0">
            <wp:extent cx="3959112" cy="2524836"/>
            <wp:effectExtent l="19050" t="0" r="22338" b="8814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22AC4" w:rsidRDefault="00C22AC4" w:rsidP="00C22AC4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F1700">
        <w:rPr>
          <w:rFonts w:ascii="Times New Roman" w:hAnsi="Times New Roman" w:cs="Times New Roman"/>
          <w:b/>
          <w:sz w:val="20"/>
          <w:szCs w:val="20"/>
        </w:rPr>
        <w:t>FIGURE 1:</w:t>
      </w:r>
      <w:r w:rsidRPr="00AF1700">
        <w:rPr>
          <w:rFonts w:ascii="Times New Roman" w:hAnsi="Times New Roman" w:cs="Times New Roman"/>
          <w:sz w:val="20"/>
          <w:szCs w:val="20"/>
        </w:rPr>
        <w:t xml:space="preserve"> </w:t>
      </w:r>
      <w:r w:rsidRPr="00AF1700">
        <w:rPr>
          <w:rFonts w:ascii="Times New Roman" w:hAnsi="Times New Roman" w:cs="Times New Roman"/>
          <w:i/>
          <w:sz w:val="20"/>
          <w:szCs w:val="20"/>
        </w:rPr>
        <w:t>Trend of Overseas Workers from Bangladesh</w:t>
      </w:r>
    </w:p>
    <w:p w:rsidR="00C22AC4" w:rsidRPr="00C22AC4" w:rsidRDefault="00C22AC4" w:rsidP="00C22AC4">
      <w:pPr>
        <w:spacing w:line="240" w:lineRule="auto"/>
      </w:pPr>
    </w:p>
    <w:p w:rsidR="00C22AC4" w:rsidRDefault="00C22AC4" w:rsidP="00C22AC4">
      <w:pPr>
        <w:tabs>
          <w:tab w:val="left" w:pos="2790"/>
        </w:tabs>
        <w:spacing w:after="0" w:line="240" w:lineRule="auto"/>
        <w:jc w:val="both"/>
      </w:pPr>
      <w:r w:rsidRPr="00C22AC4">
        <w:drawing>
          <wp:inline distT="0" distB="0" distL="0" distR="0">
            <wp:extent cx="3829952" cy="2335946"/>
            <wp:effectExtent l="19050" t="0" r="18148" b="7204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22AC4" w:rsidRPr="00AF1700" w:rsidRDefault="00C22AC4" w:rsidP="00C22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ab/>
      </w:r>
      <w:r w:rsidRPr="00AF1700">
        <w:rPr>
          <w:rFonts w:ascii="Times New Roman" w:hAnsi="Times New Roman" w:cs="Times New Roman"/>
          <w:b/>
          <w:sz w:val="20"/>
          <w:szCs w:val="20"/>
        </w:rPr>
        <w:t>FIGURE 2</w:t>
      </w:r>
      <w:r w:rsidRPr="00AF1700">
        <w:rPr>
          <w:rFonts w:ascii="Times New Roman" w:hAnsi="Times New Roman" w:cs="Times New Roman"/>
          <w:sz w:val="20"/>
          <w:szCs w:val="20"/>
        </w:rPr>
        <w:t xml:space="preserve">: </w:t>
      </w:r>
      <w:r w:rsidRPr="00AF1700">
        <w:rPr>
          <w:rFonts w:ascii="Times New Roman" w:hAnsi="Times New Roman" w:cs="Times New Roman"/>
          <w:i/>
          <w:sz w:val="20"/>
          <w:szCs w:val="20"/>
        </w:rPr>
        <w:t>Inflow of Remittance earning</w:t>
      </w:r>
    </w:p>
    <w:p w:rsidR="00554A51" w:rsidRDefault="00554A51" w:rsidP="00C22AC4">
      <w:pPr>
        <w:tabs>
          <w:tab w:val="left" w:pos="2790"/>
        </w:tabs>
      </w:pPr>
    </w:p>
    <w:p w:rsidR="00C22AC4" w:rsidRPr="007F4B87" w:rsidRDefault="00C22AC4" w:rsidP="00C22AC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F4B87">
        <w:rPr>
          <w:rFonts w:ascii="Times New Roman" w:hAnsi="Times New Roman" w:cs="Times New Roman"/>
          <w:b/>
          <w:sz w:val="20"/>
          <w:szCs w:val="20"/>
        </w:rPr>
        <w:t>TABLE 1:</w:t>
      </w:r>
      <w:r w:rsidRPr="0020260F">
        <w:rPr>
          <w:rFonts w:ascii="Times New Roman" w:hAnsi="Times New Roman" w:cs="Times New Roman"/>
        </w:rPr>
        <w:t xml:space="preserve"> </w:t>
      </w:r>
      <w:r w:rsidRPr="007F4B87">
        <w:rPr>
          <w:rFonts w:ascii="Times New Roman" w:hAnsi="Times New Roman" w:cs="Times New Roman"/>
          <w:i/>
          <w:sz w:val="20"/>
          <w:szCs w:val="20"/>
        </w:rPr>
        <w:t>Estimated Results of</w:t>
      </w:r>
      <w:r w:rsidRPr="007F4B87">
        <w:rPr>
          <w:rFonts w:ascii="Times New Roman" w:hAnsi="Times New Roman" w:cs="Times New Roman"/>
          <w:sz w:val="20"/>
          <w:szCs w:val="20"/>
        </w:rPr>
        <w:t xml:space="preserve"> </w:t>
      </w:r>
      <w:r w:rsidRPr="007F4B87">
        <w:rPr>
          <w:rFonts w:ascii="Times New Roman" w:hAnsi="Times New Roman" w:cs="Times New Roman"/>
          <w:i/>
          <w:sz w:val="20"/>
          <w:szCs w:val="20"/>
        </w:rPr>
        <w:t>Unit Root Test of Bangladesh’s HDI and Remittance</w:t>
      </w:r>
      <w:r w:rsidRPr="007F4B8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tbl>
      <w:tblPr>
        <w:tblStyle w:val="TableGrid"/>
        <w:tblW w:w="7655" w:type="dxa"/>
        <w:tblInd w:w="10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59"/>
        <w:gridCol w:w="1133"/>
        <w:gridCol w:w="1348"/>
        <w:gridCol w:w="1280"/>
        <w:gridCol w:w="1276"/>
        <w:gridCol w:w="1559"/>
      </w:tblGrid>
      <w:tr w:rsidR="00C22AC4" w:rsidRPr="0077029B" w:rsidTr="00106982">
        <w:trPr>
          <w:trHeight w:val="324"/>
        </w:trPr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C22AC4" w:rsidRPr="0077029B" w:rsidRDefault="00C22AC4" w:rsidP="0010698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2AC4" w:rsidRPr="0077029B" w:rsidRDefault="00C22AC4" w:rsidP="0010698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In levels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2AC4" w:rsidRPr="0077029B" w:rsidRDefault="00C22AC4" w:rsidP="0010698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In first differences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2AC4" w:rsidRPr="0077029B" w:rsidRDefault="00C22AC4" w:rsidP="0010698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AC4" w:rsidRPr="0077029B" w:rsidTr="00106982">
        <w:trPr>
          <w:trHeight w:val="544"/>
        </w:trPr>
        <w:tc>
          <w:tcPr>
            <w:tcW w:w="1059" w:type="dxa"/>
            <w:tcBorders>
              <w:top w:val="single" w:sz="4" w:space="0" w:color="auto"/>
            </w:tcBorders>
          </w:tcPr>
          <w:p w:rsidR="00C22AC4" w:rsidRPr="0077029B" w:rsidRDefault="00C22AC4" w:rsidP="0010698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Variables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C22AC4" w:rsidRPr="0077029B" w:rsidRDefault="00C22AC4" w:rsidP="0010698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Model A</w:t>
            </w:r>
          </w:p>
        </w:tc>
        <w:tc>
          <w:tcPr>
            <w:tcW w:w="1348" w:type="dxa"/>
            <w:tcBorders>
              <w:top w:val="single" w:sz="4" w:space="0" w:color="auto"/>
            </w:tcBorders>
          </w:tcPr>
          <w:p w:rsidR="00C22AC4" w:rsidRPr="0077029B" w:rsidRDefault="00C22AC4" w:rsidP="0010698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Model B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C22AC4" w:rsidRPr="0077029B" w:rsidRDefault="00C22AC4" w:rsidP="0010698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Model 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22AC4" w:rsidRPr="0077029B" w:rsidRDefault="00C22AC4" w:rsidP="0010698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Model B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22AC4" w:rsidRPr="0077029B" w:rsidRDefault="00C22AC4" w:rsidP="00106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Level of Integration</w:t>
            </w:r>
          </w:p>
        </w:tc>
      </w:tr>
      <w:tr w:rsidR="00C22AC4" w:rsidRPr="0077029B" w:rsidTr="00106982">
        <w:trPr>
          <w:trHeight w:val="277"/>
        </w:trPr>
        <w:tc>
          <w:tcPr>
            <w:tcW w:w="1059" w:type="dxa"/>
          </w:tcPr>
          <w:p w:rsidR="00C22AC4" w:rsidRPr="0077029B" w:rsidRDefault="00C22AC4" w:rsidP="001069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HDI</w:t>
            </w:r>
          </w:p>
        </w:tc>
        <w:tc>
          <w:tcPr>
            <w:tcW w:w="1133" w:type="dxa"/>
          </w:tcPr>
          <w:p w:rsidR="00C22AC4" w:rsidRPr="0077029B" w:rsidRDefault="00C22AC4" w:rsidP="001069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3.71(1.00)</w:t>
            </w:r>
          </w:p>
        </w:tc>
        <w:tc>
          <w:tcPr>
            <w:tcW w:w="1348" w:type="dxa"/>
          </w:tcPr>
          <w:p w:rsidR="00C22AC4" w:rsidRPr="0077029B" w:rsidRDefault="00C22AC4" w:rsidP="001069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-.880(0.945)</w:t>
            </w:r>
          </w:p>
        </w:tc>
        <w:tc>
          <w:tcPr>
            <w:tcW w:w="1280" w:type="dxa"/>
          </w:tcPr>
          <w:p w:rsidR="00C22AC4" w:rsidRPr="0077029B" w:rsidRDefault="00C22AC4" w:rsidP="001069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-4.12 (0.003)</w:t>
            </w:r>
          </w:p>
        </w:tc>
        <w:tc>
          <w:tcPr>
            <w:tcW w:w="1276" w:type="dxa"/>
          </w:tcPr>
          <w:p w:rsidR="00C22AC4" w:rsidRPr="0077029B" w:rsidRDefault="00C22AC4" w:rsidP="001069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-5.66 (0.004)</w:t>
            </w:r>
          </w:p>
        </w:tc>
        <w:tc>
          <w:tcPr>
            <w:tcW w:w="1559" w:type="dxa"/>
          </w:tcPr>
          <w:p w:rsidR="00C22AC4" w:rsidRPr="0077029B" w:rsidRDefault="00C22AC4" w:rsidP="001069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I(1)</w:t>
            </w:r>
          </w:p>
        </w:tc>
      </w:tr>
      <w:tr w:rsidR="00C22AC4" w:rsidRPr="0077029B" w:rsidTr="00106982">
        <w:trPr>
          <w:trHeight w:val="277"/>
        </w:trPr>
        <w:tc>
          <w:tcPr>
            <w:tcW w:w="1059" w:type="dxa"/>
          </w:tcPr>
          <w:p w:rsidR="00C22AC4" w:rsidRPr="0077029B" w:rsidRDefault="00C22AC4" w:rsidP="001069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RMT</w:t>
            </w:r>
          </w:p>
        </w:tc>
        <w:tc>
          <w:tcPr>
            <w:tcW w:w="1133" w:type="dxa"/>
          </w:tcPr>
          <w:p w:rsidR="00C22AC4" w:rsidRPr="0077029B" w:rsidRDefault="00C22AC4" w:rsidP="001069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0.87(0.99)</w:t>
            </w:r>
          </w:p>
        </w:tc>
        <w:tc>
          <w:tcPr>
            <w:tcW w:w="1348" w:type="dxa"/>
          </w:tcPr>
          <w:p w:rsidR="00C22AC4" w:rsidRPr="0077029B" w:rsidRDefault="00C22AC4" w:rsidP="001069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-1.84 (0.65)</w:t>
            </w:r>
          </w:p>
        </w:tc>
        <w:tc>
          <w:tcPr>
            <w:tcW w:w="1280" w:type="dxa"/>
          </w:tcPr>
          <w:p w:rsidR="00C22AC4" w:rsidRPr="0077029B" w:rsidRDefault="00C22AC4" w:rsidP="001069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-5.25(0.002)</w:t>
            </w:r>
          </w:p>
        </w:tc>
        <w:tc>
          <w:tcPr>
            <w:tcW w:w="1276" w:type="dxa"/>
          </w:tcPr>
          <w:p w:rsidR="00C22AC4" w:rsidRPr="0077029B" w:rsidRDefault="00C22AC4" w:rsidP="001069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-14.70 (0.00)</w:t>
            </w:r>
          </w:p>
        </w:tc>
        <w:tc>
          <w:tcPr>
            <w:tcW w:w="1559" w:type="dxa"/>
          </w:tcPr>
          <w:p w:rsidR="00C22AC4" w:rsidRPr="0077029B" w:rsidRDefault="00C22AC4" w:rsidP="001069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I(1)</w:t>
            </w:r>
          </w:p>
        </w:tc>
      </w:tr>
    </w:tbl>
    <w:p w:rsidR="00C22AC4" w:rsidRPr="00EF69B7" w:rsidRDefault="00C22AC4" w:rsidP="00C22A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B7">
        <w:rPr>
          <w:rFonts w:ascii="Times New Roman" w:hAnsi="Times New Roman" w:cs="Times New Roman"/>
          <w:sz w:val="20"/>
          <w:szCs w:val="20"/>
        </w:rPr>
        <w:t xml:space="preserve">Note: The null hypothesis indicates the existence of unit root problem to the variable. In model </w:t>
      </w:r>
      <w:proofErr w:type="gramStart"/>
      <w:r w:rsidRPr="00EF69B7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EF69B7">
        <w:rPr>
          <w:rFonts w:ascii="Times New Roman" w:hAnsi="Times New Roman" w:cs="Times New Roman"/>
          <w:sz w:val="20"/>
          <w:szCs w:val="20"/>
        </w:rPr>
        <w:t xml:space="preserve"> intercept is included but no trend is assumed where model B includes both intercepts and trends. Value in the parenthesis indicates P value. </w:t>
      </w:r>
    </w:p>
    <w:p w:rsidR="00C22AC4" w:rsidRPr="0020260F" w:rsidRDefault="00C22AC4" w:rsidP="00C22AC4">
      <w:pPr>
        <w:jc w:val="both"/>
        <w:rPr>
          <w:rFonts w:ascii="Times New Roman" w:hAnsi="Times New Roman" w:cs="Times New Roman"/>
        </w:rPr>
      </w:pPr>
      <w:r w:rsidRPr="00EF69B7">
        <w:rPr>
          <w:rFonts w:ascii="Times New Roman" w:hAnsi="Times New Roman" w:cs="Times New Roman"/>
          <w:sz w:val="20"/>
          <w:szCs w:val="20"/>
        </w:rPr>
        <w:t>Source: Data for HDI and remittance are from UNDP, Bangladesh Bank, and BMET</w:t>
      </w:r>
      <w:r w:rsidRPr="0020260F">
        <w:rPr>
          <w:rFonts w:ascii="Times New Roman" w:hAnsi="Times New Roman" w:cs="Times New Roman"/>
        </w:rPr>
        <w:t xml:space="preserve">. </w:t>
      </w:r>
    </w:p>
    <w:p w:rsidR="00C22AC4" w:rsidRDefault="00C22AC4" w:rsidP="00C22AC4">
      <w:pPr>
        <w:tabs>
          <w:tab w:val="left" w:pos="2790"/>
        </w:tabs>
      </w:pPr>
    </w:p>
    <w:p w:rsidR="00C22AC4" w:rsidRDefault="00C22AC4" w:rsidP="00C22AC4">
      <w:pPr>
        <w:tabs>
          <w:tab w:val="left" w:pos="2790"/>
        </w:tabs>
      </w:pPr>
    </w:p>
    <w:p w:rsidR="00C22AC4" w:rsidRDefault="00C22AC4" w:rsidP="00C22AC4">
      <w:pPr>
        <w:tabs>
          <w:tab w:val="left" w:pos="2790"/>
        </w:tabs>
      </w:pPr>
    </w:p>
    <w:p w:rsidR="00C22AC4" w:rsidRPr="0020260F" w:rsidRDefault="00C22AC4" w:rsidP="00C22A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14CB">
        <w:rPr>
          <w:rFonts w:ascii="Times New Roman" w:hAnsi="Times New Roman" w:cs="Times New Roman"/>
          <w:b/>
          <w:sz w:val="20"/>
          <w:szCs w:val="20"/>
        </w:rPr>
        <w:lastRenderedPageBreak/>
        <w:t>TABLE 2</w:t>
      </w:r>
      <w:r w:rsidRPr="0077029B">
        <w:rPr>
          <w:rFonts w:ascii="Times New Roman" w:hAnsi="Times New Roman" w:cs="Times New Roman"/>
          <w:i/>
          <w:sz w:val="20"/>
          <w:szCs w:val="20"/>
        </w:rPr>
        <w:t>: Estimated</w:t>
      </w:r>
      <w:r w:rsidRPr="0077029B">
        <w:rPr>
          <w:rFonts w:ascii="Times New Roman" w:hAnsi="Times New Roman" w:cs="Times New Roman"/>
          <w:sz w:val="20"/>
          <w:szCs w:val="20"/>
        </w:rPr>
        <w:t xml:space="preserve"> </w:t>
      </w:r>
      <w:r w:rsidRPr="0077029B">
        <w:rPr>
          <w:rFonts w:ascii="Times New Roman" w:hAnsi="Times New Roman" w:cs="Times New Roman"/>
          <w:i/>
          <w:sz w:val="20"/>
          <w:szCs w:val="20"/>
        </w:rPr>
        <w:t>Results</w:t>
      </w:r>
      <w:r w:rsidRPr="0077029B">
        <w:rPr>
          <w:rFonts w:ascii="Times New Roman" w:hAnsi="Times New Roman" w:cs="Times New Roman"/>
          <w:sz w:val="20"/>
          <w:szCs w:val="20"/>
        </w:rPr>
        <w:t xml:space="preserve"> </w:t>
      </w:r>
      <w:r w:rsidRPr="0077029B">
        <w:rPr>
          <w:rFonts w:ascii="Times New Roman" w:hAnsi="Times New Roman" w:cs="Times New Roman"/>
          <w:i/>
          <w:sz w:val="20"/>
          <w:szCs w:val="20"/>
        </w:rPr>
        <w:t xml:space="preserve">of Johansen </w:t>
      </w:r>
      <w:proofErr w:type="spellStart"/>
      <w:r w:rsidRPr="0077029B">
        <w:rPr>
          <w:rFonts w:ascii="Times New Roman" w:hAnsi="Times New Roman" w:cs="Times New Roman"/>
          <w:i/>
          <w:sz w:val="20"/>
          <w:szCs w:val="20"/>
        </w:rPr>
        <w:t>Cointigration</w:t>
      </w:r>
      <w:proofErr w:type="spellEnd"/>
      <w:r w:rsidRPr="0077029B">
        <w:rPr>
          <w:rFonts w:ascii="Times New Roman" w:hAnsi="Times New Roman" w:cs="Times New Roman"/>
          <w:i/>
          <w:sz w:val="20"/>
          <w:szCs w:val="20"/>
        </w:rPr>
        <w:t xml:space="preserve"> test for HDI and Remittance</w:t>
      </w:r>
    </w:p>
    <w:tbl>
      <w:tblPr>
        <w:tblStyle w:val="TableGrid"/>
        <w:tblW w:w="7763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96"/>
        <w:gridCol w:w="1706"/>
        <w:gridCol w:w="1701"/>
        <w:gridCol w:w="1115"/>
        <w:gridCol w:w="1353"/>
        <w:gridCol w:w="792"/>
      </w:tblGrid>
      <w:tr w:rsidR="00C22AC4" w:rsidRPr="0077029B" w:rsidTr="00C22AC4">
        <w:tc>
          <w:tcPr>
            <w:tcW w:w="2802" w:type="dxa"/>
            <w:gridSpan w:val="2"/>
            <w:tcBorders>
              <w:bottom w:val="single" w:sz="4" w:space="0" w:color="auto"/>
            </w:tcBorders>
          </w:tcPr>
          <w:p w:rsidR="00C22AC4" w:rsidRPr="0077029B" w:rsidRDefault="00C22AC4" w:rsidP="0010698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bottom w:val="single" w:sz="4" w:space="0" w:color="auto"/>
            </w:tcBorders>
          </w:tcPr>
          <w:p w:rsidR="00C22AC4" w:rsidRPr="0077029B" w:rsidRDefault="00C22AC4" w:rsidP="0010698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Option 1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:rsidR="00C22AC4" w:rsidRPr="0077029B" w:rsidRDefault="00C22AC4" w:rsidP="0010698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Option 2</w:t>
            </w:r>
          </w:p>
        </w:tc>
      </w:tr>
      <w:tr w:rsidR="00C22AC4" w:rsidRPr="0077029B" w:rsidTr="00C22AC4">
        <w:tc>
          <w:tcPr>
            <w:tcW w:w="1096" w:type="dxa"/>
            <w:tcBorders>
              <w:top w:val="single" w:sz="4" w:space="0" w:color="auto"/>
              <w:bottom w:val="nil"/>
            </w:tcBorders>
          </w:tcPr>
          <w:p w:rsidR="00C22AC4" w:rsidRPr="0077029B" w:rsidRDefault="00C22AC4" w:rsidP="00106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1706" w:type="dxa"/>
            <w:tcBorders>
              <w:top w:val="single" w:sz="4" w:space="0" w:color="auto"/>
              <w:bottom w:val="nil"/>
            </w:tcBorders>
          </w:tcPr>
          <w:p w:rsidR="00C22AC4" w:rsidRPr="0077029B" w:rsidRDefault="00C22AC4" w:rsidP="00106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Hypothesized number of CE(s)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C22AC4" w:rsidRPr="0077029B" w:rsidRDefault="00C22AC4" w:rsidP="00106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 xml:space="preserve">Statistical value </w:t>
            </w:r>
          </w:p>
        </w:tc>
        <w:tc>
          <w:tcPr>
            <w:tcW w:w="1115" w:type="dxa"/>
            <w:tcBorders>
              <w:top w:val="single" w:sz="4" w:space="0" w:color="auto"/>
              <w:bottom w:val="nil"/>
            </w:tcBorders>
          </w:tcPr>
          <w:p w:rsidR="00C22AC4" w:rsidRPr="0077029B" w:rsidRDefault="00C22AC4" w:rsidP="00106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 xml:space="preserve">  CV</w:t>
            </w:r>
          </w:p>
        </w:tc>
        <w:tc>
          <w:tcPr>
            <w:tcW w:w="1353" w:type="dxa"/>
            <w:tcBorders>
              <w:top w:val="single" w:sz="4" w:space="0" w:color="auto"/>
              <w:bottom w:val="nil"/>
            </w:tcBorders>
          </w:tcPr>
          <w:p w:rsidR="00C22AC4" w:rsidRPr="0077029B" w:rsidRDefault="00C22AC4" w:rsidP="00106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 xml:space="preserve">Statistical value </w:t>
            </w: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</w:tcPr>
          <w:p w:rsidR="00C22AC4" w:rsidRPr="0077029B" w:rsidRDefault="00C22AC4" w:rsidP="00106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CV</w:t>
            </w:r>
          </w:p>
        </w:tc>
      </w:tr>
      <w:tr w:rsidR="00C22AC4" w:rsidRPr="0077029B" w:rsidTr="00C22AC4">
        <w:trPr>
          <w:trHeight w:val="170"/>
        </w:trPr>
        <w:tc>
          <w:tcPr>
            <w:tcW w:w="1096" w:type="dxa"/>
            <w:vMerge w:val="restart"/>
            <w:tcBorders>
              <w:top w:val="nil"/>
            </w:tcBorders>
          </w:tcPr>
          <w:p w:rsidR="00C22AC4" w:rsidRPr="0077029B" w:rsidRDefault="00C22AC4" w:rsidP="0010698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Trace Test</w:t>
            </w:r>
          </w:p>
        </w:tc>
        <w:tc>
          <w:tcPr>
            <w:tcW w:w="1706" w:type="dxa"/>
            <w:tcBorders>
              <w:top w:val="nil"/>
            </w:tcBorders>
          </w:tcPr>
          <w:p w:rsidR="00C22AC4" w:rsidRPr="0077029B" w:rsidRDefault="00C22AC4" w:rsidP="0010698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77029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0</w:t>
            </w: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nil"/>
            </w:tcBorders>
          </w:tcPr>
          <w:p w:rsidR="00C22AC4" w:rsidRPr="0077029B" w:rsidRDefault="00C22AC4" w:rsidP="001069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23.056(0.003)</w:t>
            </w:r>
          </w:p>
        </w:tc>
        <w:tc>
          <w:tcPr>
            <w:tcW w:w="1115" w:type="dxa"/>
            <w:tcBorders>
              <w:top w:val="nil"/>
            </w:tcBorders>
          </w:tcPr>
          <w:tbl>
            <w:tblPr>
              <w:tblW w:w="1387" w:type="dxa"/>
              <w:tblInd w:w="3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387"/>
            </w:tblGrid>
            <w:tr w:rsidR="00C22AC4" w:rsidRPr="0077029B" w:rsidTr="00106982">
              <w:trPr>
                <w:trHeight w:val="225"/>
              </w:trPr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22AC4" w:rsidRPr="0077029B" w:rsidRDefault="00C22AC4" w:rsidP="00106982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029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15.49</w:t>
                  </w:r>
                </w:p>
              </w:tc>
            </w:tr>
          </w:tbl>
          <w:p w:rsidR="00C22AC4" w:rsidRPr="0077029B" w:rsidRDefault="00C22AC4" w:rsidP="001069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C22AC4" w:rsidRPr="0077029B" w:rsidRDefault="00C22AC4" w:rsidP="001069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28.80 (0.02)</w:t>
            </w:r>
          </w:p>
        </w:tc>
        <w:tc>
          <w:tcPr>
            <w:tcW w:w="792" w:type="dxa"/>
            <w:tcBorders>
              <w:top w:val="nil"/>
            </w:tcBorders>
          </w:tcPr>
          <w:p w:rsidR="00C22AC4" w:rsidRPr="0077029B" w:rsidRDefault="00C22AC4" w:rsidP="001069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25.87</w:t>
            </w:r>
          </w:p>
        </w:tc>
      </w:tr>
      <w:tr w:rsidR="00C22AC4" w:rsidRPr="0077029B" w:rsidTr="00106982">
        <w:trPr>
          <w:trHeight w:val="169"/>
        </w:trPr>
        <w:tc>
          <w:tcPr>
            <w:tcW w:w="1096" w:type="dxa"/>
            <w:vMerge/>
          </w:tcPr>
          <w:p w:rsidR="00C22AC4" w:rsidRPr="0077029B" w:rsidRDefault="00C22AC4" w:rsidP="0010698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C22AC4" w:rsidRPr="0077029B" w:rsidRDefault="00C22AC4" w:rsidP="0010698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77029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0</w:t>
            </w: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701" w:type="dxa"/>
          </w:tcPr>
          <w:p w:rsidR="00C22AC4" w:rsidRPr="0077029B" w:rsidRDefault="00C22AC4" w:rsidP="001069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0862 (0.353)</w:t>
            </w:r>
          </w:p>
        </w:tc>
        <w:tc>
          <w:tcPr>
            <w:tcW w:w="1115" w:type="dxa"/>
          </w:tcPr>
          <w:p w:rsidR="00C22AC4" w:rsidRPr="0077029B" w:rsidRDefault="00C22AC4" w:rsidP="001069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3.84</w:t>
            </w:r>
          </w:p>
        </w:tc>
        <w:tc>
          <w:tcPr>
            <w:tcW w:w="1353" w:type="dxa"/>
          </w:tcPr>
          <w:p w:rsidR="00C22AC4" w:rsidRPr="0077029B" w:rsidRDefault="00C22AC4" w:rsidP="001069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4.47 (0.672)</w:t>
            </w:r>
          </w:p>
        </w:tc>
        <w:tc>
          <w:tcPr>
            <w:tcW w:w="792" w:type="dxa"/>
          </w:tcPr>
          <w:p w:rsidR="00C22AC4" w:rsidRPr="0077029B" w:rsidRDefault="00C22AC4" w:rsidP="001069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12.52</w:t>
            </w:r>
          </w:p>
        </w:tc>
      </w:tr>
      <w:tr w:rsidR="00C22AC4" w:rsidRPr="0077029B" w:rsidTr="00106982">
        <w:trPr>
          <w:trHeight w:val="170"/>
        </w:trPr>
        <w:tc>
          <w:tcPr>
            <w:tcW w:w="1096" w:type="dxa"/>
            <w:vMerge w:val="restart"/>
          </w:tcPr>
          <w:p w:rsidR="00C22AC4" w:rsidRPr="0077029B" w:rsidRDefault="00C22AC4" w:rsidP="0010698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Maxeigen</w:t>
            </w:r>
            <w:proofErr w:type="spellEnd"/>
            <w:r w:rsidRPr="0077029B">
              <w:rPr>
                <w:rFonts w:ascii="Times New Roman" w:hAnsi="Times New Roman" w:cs="Times New Roman"/>
                <w:sz w:val="20"/>
                <w:szCs w:val="20"/>
              </w:rPr>
              <w:t xml:space="preserve"> Test</w:t>
            </w:r>
          </w:p>
        </w:tc>
        <w:tc>
          <w:tcPr>
            <w:tcW w:w="1706" w:type="dxa"/>
          </w:tcPr>
          <w:p w:rsidR="00C22AC4" w:rsidRPr="0077029B" w:rsidRDefault="00C22AC4" w:rsidP="0010698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77029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0</w:t>
            </w: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701" w:type="dxa"/>
          </w:tcPr>
          <w:p w:rsidR="00C22AC4" w:rsidRPr="0077029B" w:rsidRDefault="00C22AC4" w:rsidP="001069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22.19(0.0023)</w:t>
            </w:r>
          </w:p>
        </w:tc>
        <w:tc>
          <w:tcPr>
            <w:tcW w:w="1115" w:type="dxa"/>
          </w:tcPr>
          <w:p w:rsidR="00C22AC4" w:rsidRPr="0077029B" w:rsidRDefault="00C22AC4" w:rsidP="001069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14.26</w:t>
            </w:r>
          </w:p>
        </w:tc>
        <w:tc>
          <w:tcPr>
            <w:tcW w:w="1353" w:type="dxa"/>
          </w:tcPr>
          <w:p w:rsidR="00C22AC4" w:rsidRPr="0077029B" w:rsidRDefault="00C22AC4" w:rsidP="001069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24.32(0.008)</w:t>
            </w:r>
          </w:p>
        </w:tc>
        <w:tc>
          <w:tcPr>
            <w:tcW w:w="792" w:type="dxa"/>
          </w:tcPr>
          <w:p w:rsidR="00C22AC4" w:rsidRPr="0077029B" w:rsidRDefault="00C22AC4" w:rsidP="001069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19.38</w:t>
            </w:r>
          </w:p>
        </w:tc>
      </w:tr>
      <w:tr w:rsidR="00C22AC4" w:rsidRPr="0077029B" w:rsidTr="00106982">
        <w:trPr>
          <w:trHeight w:val="169"/>
        </w:trPr>
        <w:tc>
          <w:tcPr>
            <w:tcW w:w="1096" w:type="dxa"/>
            <w:vMerge/>
          </w:tcPr>
          <w:p w:rsidR="00C22AC4" w:rsidRPr="0077029B" w:rsidRDefault="00C22AC4" w:rsidP="0010698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C22AC4" w:rsidRPr="0077029B" w:rsidRDefault="00C22AC4" w:rsidP="0010698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77029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0</w:t>
            </w: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701" w:type="dxa"/>
          </w:tcPr>
          <w:p w:rsidR="00C22AC4" w:rsidRPr="0077029B" w:rsidRDefault="00C22AC4" w:rsidP="001069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0862 (0.15)</w:t>
            </w:r>
          </w:p>
        </w:tc>
        <w:tc>
          <w:tcPr>
            <w:tcW w:w="1115" w:type="dxa"/>
          </w:tcPr>
          <w:p w:rsidR="00C22AC4" w:rsidRPr="0077029B" w:rsidRDefault="00C22AC4" w:rsidP="001069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3.841</w:t>
            </w:r>
          </w:p>
        </w:tc>
        <w:tc>
          <w:tcPr>
            <w:tcW w:w="1353" w:type="dxa"/>
          </w:tcPr>
          <w:p w:rsidR="00C22AC4" w:rsidRPr="0077029B" w:rsidRDefault="00C22AC4" w:rsidP="001069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4.47 (0.88)</w:t>
            </w:r>
          </w:p>
        </w:tc>
        <w:tc>
          <w:tcPr>
            <w:tcW w:w="792" w:type="dxa"/>
          </w:tcPr>
          <w:p w:rsidR="00C22AC4" w:rsidRPr="0077029B" w:rsidRDefault="00C22AC4" w:rsidP="001069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9B">
              <w:rPr>
                <w:rFonts w:ascii="Times New Roman" w:hAnsi="Times New Roman" w:cs="Times New Roman"/>
                <w:sz w:val="20"/>
                <w:szCs w:val="20"/>
              </w:rPr>
              <w:t>12.52</w:t>
            </w:r>
          </w:p>
        </w:tc>
      </w:tr>
    </w:tbl>
    <w:p w:rsidR="00C22AC4" w:rsidRDefault="00C22AC4" w:rsidP="00C22A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35B1">
        <w:rPr>
          <w:rFonts w:ascii="Times New Roman" w:hAnsi="Times New Roman" w:cs="Times New Roman"/>
          <w:sz w:val="20"/>
          <w:szCs w:val="20"/>
        </w:rPr>
        <w:t>Note:</w:t>
      </w:r>
      <w:r w:rsidRPr="005C35B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5C35B1">
        <w:rPr>
          <w:rFonts w:ascii="Times New Roman" w:hAnsi="Times New Roman" w:cs="Times New Roman"/>
          <w:sz w:val="20"/>
          <w:szCs w:val="20"/>
        </w:rPr>
        <w:t>H</w:t>
      </w:r>
      <w:r w:rsidRPr="005C35B1">
        <w:rPr>
          <w:rFonts w:ascii="Times New Roman" w:hAnsi="Times New Roman" w:cs="Times New Roman"/>
          <w:sz w:val="20"/>
          <w:szCs w:val="20"/>
          <w:vertAlign w:val="subscript"/>
        </w:rPr>
        <w:t>0</w:t>
      </w:r>
      <w:r w:rsidRPr="005C35B1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5C35B1">
        <w:rPr>
          <w:rFonts w:ascii="Times New Roman" w:hAnsi="Times New Roman" w:cs="Times New Roman"/>
          <w:sz w:val="20"/>
          <w:szCs w:val="20"/>
        </w:rPr>
        <w:t xml:space="preserve">1) indicates the null hypothesis of no </w:t>
      </w:r>
      <w:proofErr w:type="spellStart"/>
      <w:r w:rsidRPr="005C35B1">
        <w:rPr>
          <w:rFonts w:ascii="Times New Roman" w:hAnsi="Times New Roman" w:cs="Times New Roman"/>
          <w:sz w:val="20"/>
          <w:szCs w:val="20"/>
        </w:rPr>
        <w:t>cointigrating</w:t>
      </w:r>
      <w:proofErr w:type="spellEnd"/>
      <w:r w:rsidRPr="005C35B1">
        <w:rPr>
          <w:rFonts w:ascii="Times New Roman" w:hAnsi="Times New Roman" w:cs="Times New Roman"/>
          <w:sz w:val="20"/>
          <w:szCs w:val="20"/>
        </w:rPr>
        <w:t xml:space="preserve"> equation and H</w:t>
      </w:r>
      <w:r w:rsidRPr="005C35B1">
        <w:rPr>
          <w:rFonts w:ascii="Times New Roman" w:hAnsi="Times New Roman" w:cs="Times New Roman"/>
          <w:sz w:val="20"/>
          <w:szCs w:val="20"/>
          <w:vertAlign w:val="subscript"/>
        </w:rPr>
        <w:t>0</w:t>
      </w:r>
      <w:r w:rsidRPr="005C35B1">
        <w:rPr>
          <w:rFonts w:ascii="Times New Roman" w:hAnsi="Times New Roman" w:cs="Times New Roman"/>
          <w:sz w:val="20"/>
          <w:szCs w:val="20"/>
        </w:rPr>
        <w:t xml:space="preserve">(2) indicates the null hypothesis of </w:t>
      </w:r>
      <w:proofErr w:type="spellStart"/>
      <w:r w:rsidRPr="005C35B1">
        <w:rPr>
          <w:rFonts w:ascii="Times New Roman" w:hAnsi="Times New Roman" w:cs="Times New Roman"/>
          <w:sz w:val="20"/>
          <w:szCs w:val="20"/>
        </w:rPr>
        <w:t>cointigrating</w:t>
      </w:r>
      <w:proofErr w:type="spellEnd"/>
      <w:r w:rsidRPr="005C35B1">
        <w:rPr>
          <w:rFonts w:ascii="Times New Roman" w:hAnsi="Times New Roman" w:cs="Times New Roman"/>
          <w:sz w:val="20"/>
          <w:szCs w:val="20"/>
        </w:rPr>
        <w:t xml:space="preserve"> (I) equation at most. CV stands for critical value and CE stands for </w:t>
      </w:r>
      <w:proofErr w:type="spellStart"/>
      <w:r w:rsidRPr="005C35B1">
        <w:rPr>
          <w:rFonts w:ascii="Times New Roman" w:hAnsi="Times New Roman" w:cs="Times New Roman"/>
          <w:sz w:val="20"/>
          <w:szCs w:val="20"/>
        </w:rPr>
        <w:t>cointigrating</w:t>
      </w:r>
      <w:proofErr w:type="spellEnd"/>
      <w:r w:rsidRPr="005C35B1">
        <w:rPr>
          <w:rFonts w:ascii="Times New Roman" w:hAnsi="Times New Roman" w:cs="Times New Roman"/>
          <w:sz w:val="20"/>
          <w:szCs w:val="20"/>
        </w:rPr>
        <w:t xml:space="preserve"> equation. Option 1 includes only intercept in the CE where option 2 includes the intercept and trend. Parenthesis indicates standard error. </w:t>
      </w:r>
    </w:p>
    <w:p w:rsidR="00C22AC4" w:rsidRDefault="00C22AC4" w:rsidP="00C22AC4">
      <w:pPr>
        <w:tabs>
          <w:tab w:val="left" w:pos="2790"/>
        </w:tabs>
      </w:pPr>
    </w:p>
    <w:p w:rsidR="00C22AC4" w:rsidRPr="005C35B1" w:rsidRDefault="00C22AC4" w:rsidP="00C22AC4">
      <w:pPr>
        <w:spacing w:after="0" w:line="240" w:lineRule="auto"/>
        <w:rPr>
          <w:rFonts w:ascii="Times New Roman" w:hAnsi="Times New Roman" w:cs="Times New Roman"/>
        </w:rPr>
      </w:pPr>
      <w:r w:rsidRPr="00C22AC4">
        <w:rPr>
          <w:rFonts w:ascii="Times New Roman" w:hAnsi="Times New Roman" w:cs="Times New Roman"/>
          <w:b/>
        </w:rPr>
        <w:t>TABLE 3</w:t>
      </w:r>
      <w:r>
        <w:rPr>
          <w:rFonts w:ascii="Times New Roman" w:hAnsi="Times New Roman" w:cs="Times New Roman"/>
        </w:rPr>
        <w:t>:</w:t>
      </w:r>
      <w:r w:rsidRPr="005C35B1">
        <w:rPr>
          <w:rFonts w:ascii="Times New Roman" w:hAnsi="Times New Roman" w:cs="Times New Roman"/>
        </w:rPr>
        <w:t xml:space="preserve"> </w:t>
      </w:r>
      <w:r w:rsidRPr="007F4B87">
        <w:rPr>
          <w:rFonts w:ascii="Times New Roman" w:hAnsi="Times New Roman" w:cs="Times New Roman"/>
          <w:i/>
        </w:rPr>
        <w:t>Estimated</w:t>
      </w:r>
      <w:r>
        <w:rPr>
          <w:rFonts w:ascii="Times New Roman" w:hAnsi="Times New Roman" w:cs="Times New Roman"/>
          <w:i/>
        </w:rPr>
        <w:t xml:space="preserve"> Results of</w:t>
      </w:r>
      <w:r w:rsidRPr="007F4B87">
        <w:rPr>
          <w:rFonts w:ascii="Times New Roman" w:hAnsi="Times New Roman" w:cs="Times New Roman"/>
          <w:i/>
        </w:rPr>
        <w:t xml:space="preserve"> VEC </w:t>
      </w:r>
      <w:r>
        <w:rPr>
          <w:rFonts w:ascii="Times New Roman" w:hAnsi="Times New Roman" w:cs="Times New Roman"/>
          <w:i/>
        </w:rPr>
        <w:t>M</w:t>
      </w:r>
      <w:r w:rsidRPr="007F4B87">
        <w:rPr>
          <w:rFonts w:ascii="Times New Roman" w:hAnsi="Times New Roman" w:cs="Times New Roman"/>
          <w:i/>
        </w:rPr>
        <w:t>odel</w:t>
      </w:r>
      <w:r w:rsidRPr="005C35B1">
        <w:rPr>
          <w:rFonts w:ascii="Times New Roman" w:hAnsi="Times New Roman" w:cs="Times New Roman"/>
        </w:rPr>
        <w:t xml:space="preserve">     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265"/>
        <w:gridCol w:w="1479"/>
        <w:gridCol w:w="1478"/>
        <w:gridCol w:w="1555"/>
      </w:tblGrid>
      <w:tr w:rsidR="00C22AC4" w:rsidRPr="00C22AC4" w:rsidTr="00106982">
        <w:tc>
          <w:tcPr>
            <w:tcW w:w="1809" w:type="dxa"/>
          </w:tcPr>
          <w:p w:rsidR="00C22AC4" w:rsidRPr="00C22AC4" w:rsidRDefault="00C22AC4" w:rsidP="0010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C22AC4" w:rsidRPr="00C22AC4" w:rsidRDefault="00C22AC4" w:rsidP="0010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Coefficient</w:t>
            </w:r>
          </w:p>
        </w:tc>
        <w:tc>
          <w:tcPr>
            <w:tcW w:w="1479" w:type="dxa"/>
          </w:tcPr>
          <w:p w:rsidR="00C22AC4" w:rsidRPr="00C22AC4" w:rsidRDefault="00C22AC4" w:rsidP="0010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Standard error</w:t>
            </w:r>
          </w:p>
        </w:tc>
        <w:tc>
          <w:tcPr>
            <w:tcW w:w="1478" w:type="dxa"/>
          </w:tcPr>
          <w:p w:rsidR="00C22AC4" w:rsidRPr="00C22AC4" w:rsidRDefault="00C22AC4" w:rsidP="0010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t-statistics</w:t>
            </w:r>
          </w:p>
        </w:tc>
        <w:tc>
          <w:tcPr>
            <w:tcW w:w="1555" w:type="dxa"/>
          </w:tcPr>
          <w:p w:rsidR="00C22AC4" w:rsidRPr="00C22AC4" w:rsidRDefault="00C22AC4" w:rsidP="0010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Probability</w:t>
            </w:r>
          </w:p>
        </w:tc>
      </w:tr>
      <w:tr w:rsidR="00C22AC4" w:rsidRPr="00C22AC4" w:rsidTr="00106982">
        <w:tc>
          <w:tcPr>
            <w:tcW w:w="1809" w:type="dxa"/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C(1)</w:t>
            </w:r>
          </w:p>
        </w:tc>
        <w:tc>
          <w:tcPr>
            <w:tcW w:w="1265" w:type="dxa"/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-0.000607</w:t>
            </w:r>
          </w:p>
        </w:tc>
        <w:tc>
          <w:tcPr>
            <w:tcW w:w="1479" w:type="dxa"/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0.000221</w:t>
            </w:r>
          </w:p>
        </w:tc>
        <w:tc>
          <w:tcPr>
            <w:tcW w:w="1478" w:type="dxa"/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-2.750716</w:t>
            </w:r>
          </w:p>
        </w:tc>
        <w:tc>
          <w:tcPr>
            <w:tcW w:w="1555" w:type="dxa"/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0.0117</w:t>
            </w:r>
          </w:p>
        </w:tc>
      </w:tr>
      <w:tr w:rsidR="00C22AC4" w:rsidRPr="00C22AC4" w:rsidTr="00106982">
        <w:tc>
          <w:tcPr>
            <w:tcW w:w="1809" w:type="dxa"/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C(2)</w:t>
            </w:r>
          </w:p>
        </w:tc>
        <w:tc>
          <w:tcPr>
            <w:tcW w:w="1265" w:type="dxa"/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-0.173740</w:t>
            </w:r>
          </w:p>
        </w:tc>
        <w:tc>
          <w:tcPr>
            <w:tcW w:w="1479" w:type="dxa"/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0.210323</w:t>
            </w:r>
          </w:p>
        </w:tc>
        <w:tc>
          <w:tcPr>
            <w:tcW w:w="1478" w:type="dxa"/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-0.826063</w:t>
            </w:r>
          </w:p>
        </w:tc>
        <w:tc>
          <w:tcPr>
            <w:tcW w:w="1555" w:type="dxa"/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0.4176</w:t>
            </w:r>
          </w:p>
        </w:tc>
      </w:tr>
      <w:tr w:rsidR="00C22AC4" w:rsidRPr="00C22AC4" w:rsidTr="00106982">
        <w:tc>
          <w:tcPr>
            <w:tcW w:w="1809" w:type="dxa"/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C(3)</w:t>
            </w:r>
          </w:p>
        </w:tc>
        <w:tc>
          <w:tcPr>
            <w:tcW w:w="1265" w:type="dxa"/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0.195000</w:t>
            </w:r>
          </w:p>
        </w:tc>
        <w:tc>
          <w:tcPr>
            <w:tcW w:w="1479" w:type="dxa"/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0.352471</w:t>
            </w:r>
          </w:p>
        </w:tc>
        <w:tc>
          <w:tcPr>
            <w:tcW w:w="1478" w:type="dxa"/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0.553237</w:t>
            </w:r>
          </w:p>
        </w:tc>
        <w:tc>
          <w:tcPr>
            <w:tcW w:w="1555" w:type="dxa"/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0.5857</w:t>
            </w:r>
          </w:p>
        </w:tc>
      </w:tr>
      <w:tr w:rsidR="00C22AC4" w:rsidRPr="00C22AC4" w:rsidTr="00106982">
        <w:tc>
          <w:tcPr>
            <w:tcW w:w="1809" w:type="dxa"/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C(4)</w:t>
            </w:r>
          </w:p>
        </w:tc>
        <w:tc>
          <w:tcPr>
            <w:tcW w:w="1265" w:type="dxa"/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-0.009057</w:t>
            </w:r>
          </w:p>
        </w:tc>
        <w:tc>
          <w:tcPr>
            <w:tcW w:w="1479" w:type="dxa"/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0.006171</w:t>
            </w:r>
          </w:p>
        </w:tc>
        <w:tc>
          <w:tcPr>
            <w:tcW w:w="1478" w:type="dxa"/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-1.467681</w:t>
            </w:r>
          </w:p>
        </w:tc>
        <w:tc>
          <w:tcPr>
            <w:tcW w:w="1555" w:type="dxa"/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0.1563</w:t>
            </w:r>
          </w:p>
        </w:tc>
      </w:tr>
      <w:tr w:rsidR="00C22AC4" w:rsidRPr="00C22AC4" w:rsidTr="00106982">
        <w:tc>
          <w:tcPr>
            <w:tcW w:w="1809" w:type="dxa"/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C(5)</w:t>
            </w:r>
          </w:p>
        </w:tc>
        <w:tc>
          <w:tcPr>
            <w:tcW w:w="1265" w:type="dxa"/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-0.000406</w:t>
            </w:r>
          </w:p>
        </w:tc>
        <w:tc>
          <w:tcPr>
            <w:tcW w:w="1479" w:type="dxa"/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0.005036</w:t>
            </w:r>
          </w:p>
        </w:tc>
        <w:tc>
          <w:tcPr>
            <w:tcW w:w="1478" w:type="dxa"/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-0.080693</w:t>
            </w:r>
          </w:p>
        </w:tc>
        <w:tc>
          <w:tcPr>
            <w:tcW w:w="1555" w:type="dxa"/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0.9364</w:t>
            </w:r>
          </w:p>
        </w:tc>
      </w:tr>
      <w:tr w:rsidR="00C22AC4" w:rsidRPr="00C22AC4" w:rsidTr="00106982">
        <w:tc>
          <w:tcPr>
            <w:tcW w:w="1809" w:type="dxa"/>
            <w:tcBorders>
              <w:bottom w:val="single" w:sz="4" w:space="0" w:color="auto"/>
            </w:tcBorders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C(6)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0.017038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0.006717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2.536703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0.0188</w:t>
            </w:r>
          </w:p>
        </w:tc>
      </w:tr>
      <w:tr w:rsidR="00C22AC4" w:rsidRPr="00C22AC4" w:rsidTr="0010698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0.385416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22AC4" w:rsidRPr="00C22AC4" w:rsidRDefault="00C22AC4" w:rsidP="00106982">
            <w:pPr>
              <w:tabs>
                <w:tab w:val="left" w:pos="880"/>
                <w:tab w:val="left" w:pos="985"/>
              </w:tabs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 xml:space="preserve"> Mean dependent </w:t>
            </w:r>
            <w:proofErr w:type="spellStart"/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var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0.016180</w:t>
            </w:r>
          </w:p>
        </w:tc>
      </w:tr>
      <w:tr w:rsidR="00C22AC4" w:rsidRPr="00C22AC4" w:rsidTr="00106982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 xml:space="preserve">Adjusted </w:t>
            </w:r>
          </w:p>
          <w:p w:rsidR="00C22AC4" w:rsidRPr="00C22AC4" w:rsidRDefault="00C22AC4" w:rsidP="00106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0.245738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 xml:space="preserve">S.D. dependent </w:t>
            </w:r>
            <w:proofErr w:type="spellStart"/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var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0.003661</w:t>
            </w:r>
          </w:p>
        </w:tc>
      </w:tr>
      <w:tr w:rsidR="00C22AC4" w:rsidRPr="00C22AC4" w:rsidTr="00106982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S.E. of regression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0.003179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Akaike</w:t>
            </w:r>
            <w:proofErr w:type="spellEnd"/>
            <w:r w:rsidRPr="00C22AC4">
              <w:rPr>
                <w:rFonts w:ascii="Times New Roman" w:hAnsi="Times New Roman" w:cs="Times New Roman"/>
                <w:sz w:val="20"/>
                <w:szCs w:val="20"/>
              </w:rPr>
              <w:t xml:space="preserve"> info criterion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-8.476937</w:t>
            </w:r>
          </w:p>
        </w:tc>
      </w:tr>
      <w:tr w:rsidR="00C22AC4" w:rsidRPr="00C22AC4" w:rsidTr="00106982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Sum squared residual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0.000222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Schwarz criterion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-8.191465</w:t>
            </w:r>
          </w:p>
        </w:tc>
      </w:tr>
      <w:tr w:rsidR="00C22AC4" w:rsidRPr="00C22AC4" w:rsidTr="00106982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Log likelihood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124.6771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Hannan</w:t>
            </w:r>
            <w:proofErr w:type="spellEnd"/>
            <w:r w:rsidRPr="00C22AC4">
              <w:rPr>
                <w:rFonts w:ascii="Times New Roman" w:hAnsi="Times New Roman" w:cs="Times New Roman"/>
                <w:sz w:val="20"/>
                <w:szCs w:val="20"/>
              </w:rPr>
              <w:t xml:space="preserve">-Quinn </w:t>
            </w:r>
            <w:proofErr w:type="spellStart"/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criter</w:t>
            </w:r>
            <w:proofErr w:type="spellEnd"/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-8.389665</w:t>
            </w:r>
          </w:p>
        </w:tc>
      </w:tr>
      <w:tr w:rsidR="00C22AC4" w:rsidRPr="00C22AC4" w:rsidTr="00106982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F-statistic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2.759313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Durbin-Watson stat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2.029471</w:t>
            </w:r>
          </w:p>
        </w:tc>
      </w:tr>
      <w:tr w:rsidR="00C22AC4" w:rsidRPr="00C22AC4" w:rsidTr="00106982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Prob</w:t>
            </w:r>
            <w:proofErr w:type="spellEnd"/>
            <w:r w:rsidRPr="00C22AC4">
              <w:rPr>
                <w:rFonts w:ascii="Times New Roman" w:hAnsi="Times New Roman" w:cs="Times New Roman"/>
                <w:sz w:val="20"/>
                <w:szCs w:val="20"/>
              </w:rPr>
              <w:t xml:space="preserve"> (F-statistic)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2AC4">
              <w:rPr>
                <w:rFonts w:ascii="Times New Roman" w:hAnsi="Times New Roman" w:cs="Times New Roman"/>
                <w:sz w:val="20"/>
                <w:szCs w:val="20"/>
              </w:rPr>
              <w:t>0.044132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AC4" w:rsidRPr="00C22AC4" w:rsidRDefault="00C22AC4" w:rsidP="00106982">
            <w:pPr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2AC4" w:rsidRPr="00C22AC4" w:rsidRDefault="00C22AC4" w:rsidP="00C22AC4">
      <w:pPr>
        <w:tabs>
          <w:tab w:val="left" w:pos="2790"/>
        </w:tabs>
      </w:pPr>
    </w:p>
    <w:sectPr w:rsidR="00C22AC4" w:rsidRPr="00C22AC4" w:rsidSect="00554A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22AC4"/>
    <w:rsid w:val="00272786"/>
    <w:rsid w:val="00554A51"/>
    <w:rsid w:val="00686064"/>
    <w:rsid w:val="006E353B"/>
    <w:rsid w:val="008849C9"/>
    <w:rsid w:val="00944E91"/>
    <w:rsid w:val="00AB08BF"/>
    <w:rsid w:val="00BD3BA8"/>
    <w:rsid w:val="00C22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A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2AC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ocuments\Remittance-\Final%20data%20se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ocuments\Remittance-\Final%20data%20s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MY"/>
  <c:style val="1"/>
  <c:chart>
    <c:autoTitleDeleted val="1"/>
    <c:plotArea>
      <c:layout>
        <c:manualLayout>
          <c:layoutTarget val="inner"/>
          <c:xMode val="edge"/>
          <c:yMode val="edge"/>
          <c:x val="0.17420112546783822"/>
          <c:y val="5.1400554097404488E-2"/>
          <c:w val="0.78681767383568568"/>
          <c:h val="0.69972987751533289"/>
        </c:manualLayout>
      </c:layout>
      <c:barChart>
        <c:barDir val="col"/>
        <c:grouping val="clustered"/>
        <c:ser>
          <c:idx val="0"/>
          <c:order val="0"/>
          <c:tx>
            <c:strRef>
              <c:f>Sheet2!$B$1</c:f>
              <c:strCache>
                <c:ptCount val="1"/>
                <c:pt idx="0">
                  <c:v>No. of worker/ migrant </c:v>
                </c:pt>
              </c:strCache>
            </c:strRef>
          </c:tx>
          <c:cat>
            <c:strRef>
              <c:f>Sheet2!$A$2:$A$32</c:f>
              <c:strCache>
                <c:ptCount val="31"/>
                <c:pt idx="0">
                  <c:v>1980-81</c:v>
                </c:pt>
                <c:pt idx="1">
                  <c:v>1981-82</c:v>
                </c:pt>
                <c:pt idx="2">
                  <c:v>1982-83</c:v>
                </c:pt>
                <c:pt idx="3">
                  <c:v>1983-84</c:v>
                </c:pt>
                <c:pt idx="4">
                  <c:v>1984-85</c:v>
                </c:pt>
                <c:pt idx="5">
                  <c:v>1985-86</c:v>
                </c:pt>
                <c:pt idx="6">
                  <c:v>1986-87</c:v>
                </c:pt>
                <c:pt idx="7">
                  <c:v>1987-88</c:v>
                </c:pt>
                <c:pt idx="8">
                  <c:v>1988-89</c:v>
                </c:pt>
                <c:pt idx="9">
                  <c:v>1989-90</c:v>
                </c:pt>
                <c:pt idx="10">
                  <c:v>1990-91</c:v>
                </c:pt>
                <c:pt idx="11">
                  <c:v>1991-92</c:v>
                </c:pt>
                <c:pt idx="12">
                  <c:v>1992-93</c:v>
                </c:pt>
                <c:pt idx="13">
                  <c:v>1993-94</c:v>
                </c:pt>
                <c:pt idx="14">
                  <c:v>1994-95</c:v>
                </c:pt>
                <c:pt idx="15">
                  <c:v>1995-96</c:v>
                </c:pt>
                <c:pt idx="16">
                  <c:v>1996-97</c:v>
                </c:pt>
                <c:pt idx="17">
                  <c:v>1997-98</c:v>
                </c:pt>
                <c:pt idx="18">
                  <c:v>1998-99</c:v>
                </c:pt>
                <c:pt idx="19">
                  <c:v>1999-00</c:v>
                </c:pt>
                <c:pt idx="20">
                  <c:v>2000-01</c:v>
                </c:pt>
                <c:pt idx="21">
                  <c:v>2001-02</c:v>
                </c:pt>
                <c:pt idx="22">
                  <c:v>2002-03</c:v>
                </c:pt>
                <c:pt idx="23">
                  <c:v>2003-04</c:v>
                </c:pt>
                <c:pt idx="24">
                  <c:v>2004-05</c:v>
                </c:pt>
                <c:pt idx="25">
                  <c:v>2005-06</c:v>
                </c:pt>
                <c:pt idx="26">
                  <c:v>2006-07</c:v>
                </c:pt>
                <c:pt idx="27">
                  <c:v>2007-08</c:v>
                </c:pt>
                <c:pt idx="28">
                  <c:v>2008-09</c:v>
                </c:pt>
                <c:pt idx="29">
                  <c:v>2009-10</c:v>
                </c:pt>
                <c:pt idx="30">
                  <c:v>2010-11</c:v>
                </c:pt>
              </c:strCache>
            </c:strRef>
          </c:cat>
          <c:val>
            <c:numRef>
              <c:f>Sheet2!$B$2:$B$32</c:f>
              <c:numCache>
                <c:formatCode>0</c:formatCode>
                <c:ptCount val="31"/>
                <c:pt idx="0">
                  <c:v>55787</c:v>
                </c:pt>
                <c:pt idx="1">
                  <c:v>63762</c:v>
                </c:pt>
                <c:pt idx="2">
                  <c:v>59220</c:v>
                </c:pt>
                <c:pt idx="3">
                  <c:v>56714</c:v>
                </c:pt>
                <c:pt idx="4">
                  <c:v>77694</c:v>
                </c:pt>
                <c:pt idx="5">
                  <c:v>68658</c:v>
                </c:pt>
                <c:pt idx="6">
                  <c:v>74017</c:v>
                </c:pt>
                <c:pt idx="7">
                  <c:v>68121</c:v>
                </c:pt>
                <c:pt idx="8">
                  <c:v>101724</c:v>
                </c:pt>
                <c:pt idx="9">
                  <c:v>103814</c:v>
                </c:pt>
                <c:pt idx="10">
                  <c:v>147131</c:v>
                </c:pt>
                <c:pt idx="11">
                  <c:v>188124</c:v>
                </c:pt>
                <c:pt idx="12">
                  <c:v>244508</c:v>
                </c:pt>
                <c:pt idx="13">
                  <c:v>186326</c:v>
                </c:pt>
                <c:pt idx="14">
                  <c:v>187543</c:v>
                </c:pt>
                <c:pt idx="15">
                  <c:v>211714</c:v>
                </c:pt>
                <c:pt idx="16">
                  <c:v>231077</c:v>
                </c:pt>
                <c:pt idx="17">
                  <c:v>267667</c:v>
                </c:pt>
                <c:pt idx="18">
                  <c:v>268182</c:v>
                </c:pt>
                <c:pt idx="19">
                  <c:v>222686</c:v>
                </c:pt>
                <c:pt idx="20">
                  <c:v>188965</c:v>
                </c:pt>
                <c:pt idx="21">
                  <c:v>225256</c:v>
                </c:pt>
                <c:pt idx="22">
                  <c:v>254190</c:v>
                </c:pt>
                <c:pt idx="23">
                  <c:v>272958</c:v>
                </c:pt>
                <c:pt idx="24">
                  <c:v>252702</c:v>
                </c:pt>
                <c:pt idx="25">
                  <c:v>381516</c:v>
                </c:pt>
                <c:pt idx="26">
                  <c:v>832609</c:v>
                </c:pt>
                <c:pt idx="27">
                  <c:v>875055</c:v>
                </c:pt>
                <c:pt idx="28">
                  <c:v>475378</c:v>
                </c:pt>
                <c:pt idx="29">
                  <c:v>390702</c:v>
                </c:pt>
                <c:pt idx="30">
                  <c:v>568062</c:v>
                </c:pt>
              </c:numCache>
            </c:numRef>
          </c:val>
        </c:ser>
        <c:axId val="101344000"/>
        <c:axId val="101345536"/>
      </c:barChart>
      <c:catAx>
        <c:axId val="10134400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en-MY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01345536"/>
        <c:crosses val="autoZero"/>
        <c:auto val="1"/>
        <c:lblAlgn val="ctr"/>
        <c:lblOffset val="100"/>
      </c:catAx>
      <c:valAx>
        <c:axId val="10134553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MY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MY" b="0">
                    <a:latin typeface="Times New Roman" pitchFamily="18" charset="0"/>
                    <a:cs typeface="Times New Roman" pitchFamily="18" charset="0"/>
                  </a:rPr>
                  <a:t>Number of worker/migrant</a:t>
                </a:r>
              </a:p>
            </c:rich>
          </c:tx>
          <c:layout>
            <c:manualLayout>
              <c:xMode val="edge"/>
              <c:yMode val="edge"/>
              <c:x val="7.9999983202104635E-3"/>
              <c:y val="0.11121901428988061"/>
            </c:manualLayout>
          </c:layout>
        </c:title>
        <c:numFmt formatCode="General" sourceLinked="0"/>
        <c:majorTickMark val="none"/>
        <c:tickLblPos val="nextTo"/>
        <c:txPr>
          <a:bodyPr/>
          <a:lstStyle/>
          <a:p>
            <a:pPr>
              <a:defRPr lang="en-MY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01344000"/>
        <c:crosses val="autoZero"/>
        <c:crossBetween val="between"/>
        <c:dispUnits>
          <c:builtInUnit val="thousands"/>
          <c:dispUnitsLbl>
            <c:layout>
              <c:manualLayout>
                <c:xMode val="edge"/>
                <c:yMode val="edge"/>
                <c:x val="4.9597977293414031E-2"/>
                <c:y val="0.27091617148521874"/>
              </c:manualLayout>
            </c:layout>
            <c:tx>
              <c:rich>
                <a:bodyPr/>
                <a:lstStyle/>
                <a:p>
                  <a:pPr>
                    <a:defRPr lang="en-MY" b="0">
                      <a:latin typeface="Times New Roman" pitchFamily="18" charset="0"/>
                      <a:cs typeface="Times New Roman" pitchFamily="18" charset="0"/>
                    </a:defRPr>
                  </a:pPr>
                  <a:r>
                    <a:rPr lang="en-MY" b="0">
                      <a:latin typeface="Times New Roman" pitchFamily="18" charset="0"/>
                      <a:cs typeface="Times New Roman" pitchFamily="18" charset="0"/>
                    </a:rPr>
                    <a:t>(Thousands)</a:t>
                  </a:r>
                </a:p>
              </c:rich>
            </c:tx>
          </c:dispUnitsLbl>
        </c:dispUnits>
      </c:valAx>
      <c:spPr>
        <a:ln w="44450"/>
      </c:spPr>
    </c:plotArea>
    <c:legend>
      <c:legendPos val="r"/>
      <c:layout>
        <c:manualLayout>
          <c:xMode val="edge"/>
          <c:yMode val="edge"/>
          <c:x val="0.27296822177147217"/>
          <c:y val="8.306430446194446E-2"/>
          <c:w val="0.4106017579445615"/>
          <c:h val="0.13942694663167104"/>
        </c:manualLayout>
      </c:layout>
      <c:txPr>
        <a:bodyPr/>
        <a:lstStyle/>
        <a:p>
          <a:pPr>
            <a:defRPr lang="en-MY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MY"/>
  <c:style val="1"/>
  <c:chart>
    <c:autoTitleDeleted val="1"/>
    <c:plotArea>
      <c:layout>
        <c:manualLayout>
          <c:layoutTarget val="inner"/>
          <c:xMode val="edge"/>
          <c:yMode val="edge"/>
          <c:x val="0.17708480527027776"/>
          <c:y val="5.0926041010178724E-2"/>
          <c:w val="0.71706880734153988"/>
          <c:h val="0.60543963254594246"/>
        </c:manualLayout>
      </c:layout>
      <c:barChart>
        <c:barDir val="col"/>
        <c:grouping val="clustered"/>
        <c:ser>
          <c:idx val="0"/>
          <c:order val="0"/>
          <c:tx>
            <c:strRef>
              <c:f>'final '!$C$4</c:f>
              <c:strCache>
                <c:ptCount val="1"/>
                <c:pt idx="0">
                  <c:v>Remittances in us$</c:v>
                </c:pt>
              </c:strCache>
            </c:strRef>
          </c:tx>
          <c:cat>
            <c:strRef>
              <c:f>'final '!$B$5:$B$35</c:f>
              <c:strCache>
                <c:ptCount val="31"/>
                <c:pt idx="0">
                  <c:v>1981-82</c:v>
                </c:pt>
                <c:pt idx="1">
                  <c:v>1982-83</c:v>
                </c:pt>
                <c:pt idx="2">
                  <c:v>1983-84</c:v>
                </c:pt>
                <c:pt idx="3">
                  <c:v>1984-85</c:v>
                </c:pt>
                <c:pt idx="4">
                  <c:v>1985-86</c:v>
                </c:pt>
                <c:pt idx="5">
                  <c:v>1986-87</c:v>
                </c:pt>
                <c:pt idx="6">
                  <c:v>1987-88</c:v>
                </c:pt>
                <c:pt idx="7">
                  <c:v>1988-89</c:v>
                </c:pt>
                <c:pt idx="8">
                  <c:v>1989-90</c:v>
                </c:pt>
                <c:pt idx="9">
                  <c:v>1990-91</c:v>
                </c:pt>
                <c:pt idx="10">
                  <c:v>1991-92</c:v>
                </c:pt>
                <c:pt idx="11">
                  <c:v>1992-93</c:v>
                </c:pt>
                <c:pt idx="12">
                  <c:v>1993-94</c:v>
                </c:pt>
                <c:pt idx="13">
                  <c:v>1994-95</c:v>
                </c:pt>
                <c:pt idx="14">
                  <c:v>1995-96</c:v>
                </c:pt>
                <c:pt idx="15">
                  <c:v>1996-97</c:v>
                </c:pt>
                <c:pt idx="16">
                  <c:v>1997-98</c:v>
                </c:pt>
                <c:pt idx="17">
                  <c:v>1998-99</c:v>
                </c:pt>
                <c:pt idx="18">
                  <c:v>1999-00</c:v>
                </c:pt>
                <c:pt idx="19">
                  <c:v>2000-01</c:v>
                </c:pt>
                <c:pt idx="20">
                  <c:v>2001-02</c:v>
                </c:pt>
                <c:pt idx="21">
                  <c:v>2002-03</c:v>
                </c:pt>
                <c:pt idx="22">
                  <c:v>2003-04</c:v>
                </c:pt>
                <c:pt idx="23">
                  <c:v>2004-05</c:v>
                </c:pt>
                <c:pt idx="24">
                  <c:v>2005-06</c:v>
                </c:pt>
                <c:pt idx="25">
                  <c:v>2006-07</c:v>
                </c:pt>
                <c:pt idx="26">
                  <c:v>2007-08</c:v>
                </c:pt>
                <c:pt idx="27">
                  <c:v>2008-09</c:v>
                </c:pt>
                <c:pt idx="28">
                  <c:v>2009-10</c:v>
                </c:pt>
                <c:pt idx="29">
                  <c:v>2010-11</c:v>
                </c:pt>
                <c:pt idx="30">
                  <c:v>2011-12</c:v>
                </c:pt>
              </c:strCache>
            </c:strRef>
          </c:cat>
          <c:val>
            <c:numRef>
              <c:f>'final '!$C$5:$C$35</c:f>
              <c:numCache>
                <c:formatCode>0.00</c:formatCode>
                <c:ptCount val="31"/>
                <c:pt idx="0">
                  <c:v>381.18</c:v>
                </c:pt>
                <c:pt idx="1">
                  <c:v>418.46999999999969</c:v>
                </c:pt>
                <c:pt idx="2">
                  <c:v>619.48</c:v>
                </c:pt>
                <c:pt idx="3">
                  <c:v>590.6</c:v>
                </c:pt>
                <c:pt idx="4">
                  <c:v>441.6</c:v>
                </c:pt>
                <c:pt idx="5">
                  <c:v>555.80999999999949</c:v>
                </c:pt>
                <c:pt idx="6">
                  <c:v>697.44999999999948</c:v>
                </c:pt>
                <c:pt idx="7">
                  <c:v>737.43</c:v>
                </c:pt>
                <c:pt idx="8">
                  <c:v>770.81999999999948</c:v>
                </c:pt>
                <c:pt idx="9">
                  <c:v>758.2</c:v>
                </c:pt>
                <c:pt idx="10">
                  <c:v>764.04</c:v>
                </c:pt>
                <c:pt idx="11">
                  <c:v>847.97</c:v>
                </c:pt>
                <c:pt idx="12">
                  <c:v>944</c:v>
                </c:pt>
                <c:pt idx="13">
                  <c:v>1088.79</c:v>
                </c:pt>
                <c:pt idx="14">
                  <c:v>1197.6299999999999</c:v>
                </c:pt>
                <c:pt idx="15">
                  <c:v>1217.06</c:v>
                </c:pt>
                <c:pt idx="16">
                  <c:v>1475.42</c:v>
                </c:pt>
                <c:pt idx="17">
                  <c:v>1525.43</c:v>
                </c:pt>
                <c:pt idx="18">
                  <c:v>1705.74</c:v>
                </c:pt>
                <c:pt idx="19">
                  <c:v>1949.32</c:v>
                </c:pt>
                <c:pt idx="20">
                  <c:v>1882.1</c:v>
                </c:pt>
                <c:pt idx="21">
                  <c:v>2501.13</c:v>
                </c:pt>
                <c:pt idx="22">
                  <c:v>3061.9700000000012</c:v>
                </c:pt>
                <c:pt idx="23">
                  <c:v>3371.9700000000012</c:v>
                </c:pt>
                <c:pt idx="24">
                  <c:v>3848.29</c:v>
                </c:pt>
                <c:pt idx="25">
                  <c:v>4802.41</c:v>
                </c:pt>
                <c:pt idx="26">
                  <c:v>5998.4699999999993</c:v>
                </c:pt>
                <c:pt idx="27">
                  <c:v>7914.78</c:v>
                </c:pt>
                <c:pt idx="28">
                  <c:v>9689.26</c:v>
                </c:pt>
                <c:pt idx="29">
                  <c:v>10987.4</c:v>
                </c:pt>
                <c:pt idx="30">
                  <c:v>11650.32</c:v>
                </c:pt>
              </c:numCache>
            </c:numRef>
          </c:val>
        </c:ser>
        <c:gapWidth val="300"/>
        <c:axId val="101607680"/>
        <c:axId val="101609856"/>
      </c:barChart>
      <c:catAx>
        <c:axId val="10160768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MY" sz="10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MY" sz="1000" b="0">
                    <a:latin typeface="Times New Roman" pitchFamily="18" charset="0"/>
                    <a:cs typeface="Times New Roman" pitchFamily="18" charset="0"/>
                  </a:rPr>
                  <a:t>Year</a:t>
                </a:r>
              </a:p>
            </c:rich>
          </c:tx>
          <c:layout>
            <c:manualLayout>
              <c:xMode val="edge"/>
              <c:yMode val="edge"/>
              <c:x val="0.91654126567512373"/>
              <c:y val="0.63208697871099451"/>
            </c:manualLayout>
          </c:layout>
        </c:title>
        <c:majorTickMark val="none"/>
        <c:tickLblPos val="nextTo"/>
        <c:txPr>
          <a:bodyPr/>
          <a:lstStyle/>
          <a:p>
            <a:pPr>
              <a:defRPr lang="en-MY" sz="10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01609856"/>
        <c:crosses val="autoZero"/>
        <c:auto val="1"/>
        <c:lblAlgn val="ctr"/>
        <c:lblOffset val="100"/>
      </c:catAx>
      <c:valAx>
        <c:axId val="10160985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lang="en-MY" sz="1100" b="0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en-MY" sz="1100" b="0">
                    <a:latin typeface="Times New Roman" pitchFamily="18" charset="0"/>
                    <a:cs typeface="Times New Roman" pitchFamily="18" charset="0"/>
                  </a:rPr>
                  <a:t>Remittance </a:t>
                </a:r>
                <a:r>
                  <a:rPr lang="en-MY" sz="1000" b="0">
                    <a:latin typeface="Times New Roman" pitchFamily="18" charset="0"/>
                    <a:cs typeface="Times New Roman" pitchFamily="18" charset="0"/>
                  </a:rPr>
                  <a:t>Earning</a:t>
                </a:r>
                <a:r>
                  <a:rPr lang="en-MY" sz="1100" b="0">
                    <a:latin typeface="Times New Roman" pitchFamily="18" charset="0"/>
                    <a:cs typeface="Times New Roman" pitchFamily="18" charset="0"/>
                  </a:rPr>
                  <a:t>    </a:t>
                </a:r>
                <a:r>
                  <a:rPr lang="en-MY" sz="1000" b="0">
                    <a:latin typeface="Times New Roman" pitchFamily="18" charset="0"/>
                    <a:cs typeface="Times New Roman" pitchFamily="18" charset="0"/>
                  </a:rPr>
                  <a:t>(</a:t>
                </a:r>
                <a:r>
                  <a:rPr lang="en-US" sz="1000" b="0" i="0" baseline="0"/>
                  <a:t>Thousands </a:t>
                </a:r>
                <a:r>
                  <a:rPr lang="en-MY" sz="1100" b="0">
                    <a:latin typeface="Times New Roman" pitchFamily="18" charset="0"/>
                    <a:cs typeface="Times New Roman" pitchFamily="18" charset="0"/>
                  </a:rPr>
                  <a:t>$)</a:t>
                </a:r>
              </a:p>
            </c:rich>
          </c:tx>
          <c:layout>
            <c:manualLayout>
              <c:xMode val="edge"/>
              <c:yMode val="edge"/>
              <c:x val="1.879755905686983E-2"/>
              <c:y val="8.3761885350517748E-2"/>
            </c:manualLayout>
          </c:layout>
        </c:title>
        <c:numFmt formatCode="General" sourceLinked="0"/>
        <c:tickLblPos val="nextTo"/>
        <c:txPr>
          <a:bodyPr/>
          <a:lstStyle/>
          <a:p>
            <a:pPr>
              <a:defRPr lang="en-MY" sz="10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01607680"/>
        <c:crosses val="autoZero"/>
        <c:crossBetween val="between"/>
        <c:majorUnit val="2000"/>
        <c:dispUnits>
          <c:builtInUnit val="thousands"/>
        </c:dispUnits>
      </c:valAx>
    </c:plotArea>
    <c:plotVisOnly val="1"/>
  </c:chart>
  <c:spPr>
    <a:ln w="6350"/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2015-06-16T07:18:00Z</dcterms:created>
  <dcterms:modified xsi:type="dcterms:W3CDTF">2015-06-16T07:34:00Z</dcterms:modified>
</cp:coreProperties>
</file>