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620" w:rsidRDefault="009D7620" w:rsidP="009D7620">
      <w:pPr>
        <w:pStyle w:val="Balk1"/>
      </w:pPr>
      <w:r>
        <w:t>Tables</w:t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t xml:space="preserve">Table 1: Calculation of the tax losses in million </w:t>
      </w:r>
      <w:proofErr w:type="spellStart"/>
      <w:r>
        <w:rPr>
          <w:lang w:val="en-US"/>
        </w:rPr>
        <w:t>euros</w:t>
      </w:r>
      <w:proofErr w:type="spellEnd"/>
      <w:r>
        <w:rPr>
          <w:lang w:val="en-US"/>
        </w:rPr>
        <w:t xml:space="preserve"> and in % of GDP for 28 EU, 3 non-EU and 2 other highly-developed OECD countries for the year </w:t>
      </w:r>
      <w:r w:rsidRPr="00896F4E">
        <w:rPr>
          <w:b/>
          <w:lang w:val="en-US"/>
        </w:rPr>
        <w:t>2011</w:t>
      </w:r>
    </w:p>
    <w:tbl>
      <w:tblPr>
        <w:tblW w:w="147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58"/>
        <w:gridCol w:w="1269"/>
        <w:gridCol w:w="1134"/>
        <w:gridCol w:w="1233"/>
        <w:gridCol w:w="1702"/>
        <w:gridCol w:w="1891"/>
        <w:gridCol w:w="1276"/>
        <w:gridCol w:w="1418"/>
        <w:gridCol w:w="1417"/>
        <w:gridCol w:w="1482"/>
        <w:gridCol w:w="21"/>
      </w:tblGrid>
      <w:tr w:rsidR="009D7620" w:rsidRPr="00FB77EA" w:rsidTr="00F32441">
        <w:trPr>
          <w:gridAfter w:val="1"/>
          <w:wAfter w:w="21" w:type="dxa"/>
          <w:trHeight w:val="1701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 </w:t>
            </w: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Country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(1)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GDP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euros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(2)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Shadow Economy in % of GDP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(3)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(4)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33% material and double counting (in Mio. </w:t>
            </w:r>
            <w:proofErr w:type="spellStart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(5)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Corrected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(4)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10%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illegal transactions abroad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(6)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Taxes and Social Security Contribution Burden in % of GDP</w:t>
            </w:r>
          </w:p>
        </w:tc>
        <w:tc>
          <w:tcPr>
            <w:tcW w:w="1418" w:type="dxa"/>
            <w:shd w:val="clear" w:color="auto" w:fill="EAF1DD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(7)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417" w:type="dxa"/>
            <w:shd w:val="clear" w:color="auto" w:fill="EAF1DD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(8)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82" w:type="dxa"/>
            <w:shd w:val="clear" w:color="auto" w:fill="EAF1DD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(9)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Tax loss in 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Austria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300,712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7.9%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23,756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15,917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14,325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41.9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6,002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2.0%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Belgium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369,836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17.1%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63,242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42,372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38,135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46.0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17,542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4.7%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Bulgaria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38,505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32.3%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12,437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8,333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7,500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26.1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1,957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5.1%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Croatia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44,384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29.5%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13,093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8,772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7,895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35.2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2,779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6.3%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Cyprus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17,979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26.0%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4,675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3,132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2,819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32.5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916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5.1%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 xml:space="preserve">Czech </w:t>
            </w: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Republic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156,217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16.4%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25,620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17,165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15,449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33.7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5,206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3.3%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Denmark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240,453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13.8%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33,182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22,232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20,009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46.6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9,324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3.9%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Estonia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15,951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28.6%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4,562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3,057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2,751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32.1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883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5.5%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Finland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189,489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13.7%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25,960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17,393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15,654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42.2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6,606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3.5%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France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1,996,583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11.0%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219,624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147,148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132,433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45.2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59,860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3.0%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Germany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2,592,600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13.7%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355,186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237,975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214,177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38.7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82,887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3.2%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Greece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208,532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24.3%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50,673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33,951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30,556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35.9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10,970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5.3%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Hungary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99,819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22.8%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22,759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15,249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13,724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37.0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5,078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5.1%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Ireland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158,993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12.8%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20,351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13,635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12,272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28.8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3,534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2.2%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Italy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1,578,497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21.2%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334,641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224,209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201,789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41.7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84,146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5.3%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Latvia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20,211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26.5%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5,356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3,589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3,230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27.9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901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4.5%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Lithuania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39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30,807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29.0%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8,934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488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5,986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5,387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1064"/>
              </w:tabs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27.4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1,476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4.8%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30781F" w:rsidTr="00F32441">
        <w:trPr>
          <w:trHeight w:val="283"/>
        </w:trPr>
        <w:tc>
          <w:tcPr>
            <w:tcW w:w="1470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D7620" w:rsidRPr="0030781F" w:rsidRDefault="009D7620" w:rsidP="00F32441">
            <w:pPr>
              <w:rPr>
                <w:lang w:val="en-US"/>
              </w:rPr>
            </w:pPr>
            <w:r>
              <w:rPr>
                <w:lang w:val="en-US"/>
              </w:rPr>
              <w:t xml:space="preserve">Table 1: Calculation of the tax losses in million </w:t>
            </w:r>
            <w:proofErr w:type="spellStart"/>
            <w:r>
              <w:rPr>
                <w:lang w:val="en-US"/>
              </w:rPr>
              <w:t>euros</w:t>
            </w:r>
            <w:proofErr w:type="spellEnd"/>
            <w:r>
              <w:rPr>
                <w:lang w:val="en-US"/>
              </w:rPr>
              <w:t xml:space="preserve"> and in % of GDP for 28 EU, 3 non-EU and 2 other highly-developed OECD countries for the year </w:t>
            </w:r>
            <w:r w:rsidRPr="00896F4E">
              <w:rPr>
                <w:b/>
                <w:lang w:val="en-US"/>
              </w:rPr>
              <w:t>2011</w:t>
            </w:r>
            <w:r>
              <w:rPr>
                <w:b/>
                <w:lang w:val="en-US"/>
              </w:rPr>
              <w:t xml:space="preserve"> (cont.)</w:t>
            </w:r>
          </w:p>
        </w:tc>
      </w:tr>
      <w:tr w:rsidR="009D7620" w:rsidRPr="00FB77EA" w:rsidTr="00F32441">
        <w:trPr>
          <w:gridAfter w:val="1"/>
          <w:wAfter w:w="21" w:type="dxa"/>
          <w:trHeight w:val="1701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lastRenderedPageBreak/>
              <w:t> </w:t>
            </w: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Country</w:t>
            </w:r>
          </w:p>
        </w:tc>
        <w:tc>
          <w:tcPr>
            <w:tcW w:w="1269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(1)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GDP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euros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(2)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Shadow Economy in % of GDP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(3)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(4)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33% material and double counting (in Mio. </w:t>
            </w:r>
            <w:proofErr w:type="spellStart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</w:p>
        </w:tc>
        <w:tc>
          <w:tcPr>
            <w:tcW w:w="189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(5)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Corrected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(4)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10%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illegal transactions abroad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(6)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Taxes and Social Security Contribution Burden in % of GDP</w:t>
            </w:r>
          </w:p>
        </w:tc>
        <w:tc>
          <w:tcPr>
            <w:tcW w:w="1418" w:type="dxa"/>
            <w:shd w:val="clear" w:color="auto" w:fill="EAF1DD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(7)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417" w:type="dxa"/>
            <w:shd w:val="clear" w:color="auto" w:fill="EAF1DD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(8)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82" w:type="dxa"/>
            <w:shd w:val="clear" w:color="auto" w:fill="EAF1DD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(9)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Tax loss in 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Luxembourg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42,625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8.2%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3,495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2,342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2,107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38.6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813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1.9%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Malta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6,556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25.8%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1,692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1,134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1,020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33.0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337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5.1%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Netherlands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601,973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9.8%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58,993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39,525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35,573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36.4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12,948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2.2%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Poland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369,666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25.0%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92,416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61,919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55,727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32.7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18,223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4.9%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1%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Portugal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171,065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19.4%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33,187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22,235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20,012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35.6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7,124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4.2%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Romania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131,327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29.6%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38,873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26,045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23,440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28.1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6,587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5.0%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Slovenia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36,172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24.1%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8,717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5,840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5,256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36.8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1,934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5.3%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Spain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1,063,355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19.2%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204,164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136,790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123,111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31.9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39,272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3.7%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Slovakia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69,108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16.0%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11,057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7,408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6,667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28.8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1,920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2.8%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Sweden</w:t>
            </w:r>
            <w:proofErr w:type="spellEnd"/>
            <w:r w:rsidRPr="00FB77EA">
              <w:rPr>
                <w:color w:val="000000"/>
                <w:sz w:val="22"/>
                <w:szCs w:val="22"/>
                <w:lang w:val="de-AT" w:eastAsia="de-AT"/>
              </w:rPr>
              <w:t xml:space="preserve"> 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387,596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14.7%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56,977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38,175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34,357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44.3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15,220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3.9%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 xml:space="preserve">United </w:t>
            </w: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Kingdom</w:t>
            </w:r>
            <w:proofErr w:type="spellEnd"/>
          </w:p>
        </w:tc>
        <w:tc>
          <w:tcPr>
            <w:tcW w:w="1269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1,746,587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10.5%</w:t>
            </w:r>
          </w:p>
        </w:tc>
        <w:tc>
          <w:tcPr>
            <w:tcW w:w="123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183,392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122,873</w:t>
            </w:r>
          </w:p>
        </w:tc>
        <w:tc>
          <w:tcPr>
            <w:tcW w:w="189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110,585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sz w:val="22"/>
                <w:szCs w:val="22"/>
                <w:lang w:val="de-AT" w:eastAsia="de-AT"/>
              </w:rPr>
            </w:pPr>
            <w:r w:rsidRPr="00FB77EA">
              <w:rPr>
                <w:sz w:val="22"/>
                <w:szCs w:val="22"/>
                <w:lang w:val="de-AT" w:eastAsia="de-AT"/>
              </w:rPr>
              <w:t>36.0</w:t>
            </w:r>
            <w:r>
              <w:rPr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39,811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2.3%</w:t>
            </w:r>
          </w:p>
        </w:tc>
        <w:tc>
          <w:tcPr>
            <w:tcW w:w="1482" w:type="dxa"/>
            <w:tcBorders>
              <w:bottom w:val="single" w:sz="18" w:space="0" w:color="auto"/>
            </w:tcBorders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Subtotal</w:t>
            </w:r>
            <w:proofErr w:type="spellEnd"/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 xml:space="preserve"> (EU-28)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12,685,598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19.6%</w:t>
            </w:r>
          </w:p>
        </w:tc>
        <w:tc>
          <w:tcPr>
            <w:tcW w:w="123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1,917,014</w:t>
            </w:r>
          </w:p>
        </w:tc>
        <w:tc>
          <w:tcPr>
            <w:tcW w:w="17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1,284,399</w:t>
            </w:r>
          </w:p>
        </w:tc>
        <w:tc>
          <w:tcPr>
            <w:tcW w:w="189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1,155,959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39.0</w:t>
            </w:r>
            <w:r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450,824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3.6%</w:t>
            </w:r>
          </w:p>
        </w:tc>
        <w:tc>
          <w:tcPr>
            <w:tcW w:w="14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D4D52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D4D52">
              <w:rPr>
                <w:b/>
                <w:bCs/>
                <w:color w:val="000000"/>
                <w:sz w:val="22"/>
                <w:szCs w:val="22"/>
              </w:rPr>
              <w:t>1%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Norway</w:t>
            </w:r>
            <w:proofErr w:type="spellEnd"/>
          </w:p>
        </w:tc>
        <w:tc>
          <w:tcPr>
            <w:tcW w:w="126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352,858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14.8%</w:t>
            </w:r>
          </w:p>
        </w:tc>
        <w:tc>
          <w:tcPr>
            <w:tcW w:w="123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52,223</w:t>
            </w:r>
          </w:p>
        </w:tc>
        <w:tc>
          <w:tcPr>
            <w:tcW w:w="170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34,989</w:t>
            </w:r>
          </w:p>
        </w:tc>
        <w:tc>
          <w:tcPr>
            <w:tcW w:w="189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31,490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42.1</w:t>
            </w:r>
            <w:r>
              <w:rPr>
                <w:color w:val="000000"/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13,257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3.8%</w:t>
            </w:r>
          </w:p>
        </w:tc>
        <w:tc>
          <w:tcPr>
            <w:tcW w:w="1482" w:type="dxa"/>
            <w:tcBorders>
              <w:top w:val="single" w:sz="18" w:space="0" w:color="auto"/>
            </w:tcBorders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Switzerland</w:t>
            </w:r>
            <w:proofErr w:type="spellEnd"/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476,054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7.8%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37,132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24,878</w:t>
            </w:r>
          </w:p>
        </w:tc>
        <w:tc>
          <w:tcPr>
            <w:tcW w:w="1891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22,391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27.2</w:t>
            </w:r>
            <w:r>
              <w:rPr>
                <w:color w:val="000000"/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6,090</w:t>
            </w:r>
          </w:p>
        </w:tc>
        <w:tc>
          <w:tcPr>
            <w:tcW w:w="1417" w:type="dxa"/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1.3%</w:t>
            </w:r>
          </w:p>
        </w:tc>
        <w:tc>
          <w:tcPr>
            <w:tcW w:w="1482" w:type="dxa"/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Turkey</w:t>
            </w:r>
          </w:p>
        </w:tc>
        <w:tc>
          <w:tcPr>
            <w:tcW w:w="1269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555,100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27.7%</w:t>
            </w:r>
          </w:p>
        </w:tc>
        <w:tc>
          <w:tcPr>
            <w:tcW w:w="123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153,763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103,021</w:t>
            </w:r>
          </w:p>
        </w:tc>
        <w:tc>
          <w:tcPr>
            <w:tcW w:w="189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92,719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27.8</w:t>
            </w:r>
            <w:r>
              <w:rPr>
                <w:color w:val="000000"/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25,776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4.6%</w:t>
            </w:r>
          </w:p>
        </w:tc>
        <w:tc>
          <w:tcPr>
            <w:tcW w:w="1482" w:type="dxa"/>
            <w:tcBorders>
              <w:bottom w:val="single" w:sz="18" w:space="0" w:color="auto"/>
            </w:tcBorders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</w:rPr>
            </w:pPr>
            <w:r w:rsidRPr="003D4D52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3D4D52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3D4D52" w:rsidTr="00F32441">
        <w:trPr>
          <w:gridAfter w:val="1"/>
          <w:wAfter w:w="21" w:type="dxa"/>
          <w:trHeight w:val="300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Japan</w:t>
            </w:r>
          </w:p>
        </w:tc>
        <w:tc>
          <w:tcPr>
            <w:tcW w:w="126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4,247,574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9.0%</w:t>
            </w:r>
          </w:p>
        </w:tc>
        <w:tc>
          <w:tcPr>
            <w:tcW w:w="123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382,282</w:t>
            </w:r>
          </w:p>
        </w:tc>
        <w:tc>
          <w:tcPr>
            <w:tcW w:w="170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256,129</w:t>
            </w:r>
          </w:p>
        </w:tc>
        <w:tc>
          <w:tcPr>
            <w:tcW w:w="189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230,516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28.6</w:t>
            </w:r>
            <w:r>
              <w:rPr>
                <w:color w:val="000000"/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65,928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1.6%</w:t>
            </w:r>
          </w:p>
        </w:tc>
        <w:tc>
          <w:tcPr>
            <w:tcW w:w="1482" w:type="dxa"/>
            <w:tcBorders>
              <w:top w:val="single" w:sz="18" w:space="0" w:color="auto"/>
            </w:tcBorders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bCs/>
                <w:color w:val="000000"/>
                <w:sz w:val="22"/>
                <w:szCs w:val="22"/>
                <w:lang w:val="en-US"/>
              </w:rPr>
            </w:pPr>
            <w:r w:rsidRPr="003D4D52">
              <w:rPr>
                <w:bCs/>
                <w:color w:val="000000"/>
                <w:sz w:val="22"/>
                <w:szCs w:val="22"/>
                <w:lang w:val="en-US"/>
              </w:rPr>
              <w:t>5.4% </w:t>
            </w:r>
          </w:p>
        </w:tc>
      </w:tr>
      <w:tr w:rsidR="009D7620" w:rsidRPr="003D4D52" w:rsidTr="00F32441">
        <w:trPr>
          <w:gridAfter w:val="1"/>
          <w:wAfter w:w="21" w:type="dxa"/>
          <w:trHeight w:val="300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3D4D52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United States</w:t>
            </w:r>
          </w:p>
        </w:tc>
        <w:tc>
          <w:tcPr>
            <w:tcW w:w="1269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3D4D52" w:rsidRDefault="009D7620" w:rsidP="00F32441">
            <w:pPr>
              <w:spacing w:before="0" w:after="0" w:line="240" w:lineRule="auto"/>
              <w:contextualSpacing/>
              <w:jc w:val="righ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11,147,917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3D4D52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7.0%</w:t>
            </w:r>
          </w:p>
        </w:tc>
        <w:tc>
          <w:tcPr>
            <w:tcW w:w="123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3D4D52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780,354</w:t>
            </w:r>
          </w:p>
        </w:tc>
        <w:tc>
          <w:tcPr>
            <w:tcW w:w="170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3D4D52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522,837</w:t>
            </w:r>
          </w:p>
        </w:tc>
        <w:tc>
          <w:tcPr>
            <w:tcW w:w="189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3D4D52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470,554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3D4D52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24.0%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3D4D52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112,933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3D4D52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color w:val="000000"/>
                <w:sz w:val="22"/>
                <w:szCs w:val="22"/>
                <w:lang w:val="en-US" w:eastAsia="de-AT"/>
              </w:rPr>
            </w:pPr>
            <w:r w:rsidRPr="003D4D52">
              <w:rPr>
                <w:color w:val="000000"/>
                <w:sz w:val="22"/>
                <w:szCs w:val="22"/>
                <w:lang w:val="en-US" w:eastAsia="de-AT"/>
              </w:rPr>
              <w:t>1.0%</w:t>
            </w:r>
          </w:p>
        </w:tc>
        <w:tc>
          <w:tcPr>
            <w:tcW w:w="1482" w:type="dxa"/>
            <w:tcBorders>
              <w:bottom w:val="single" w:sz="18" w:space="0" w:color="auto"/>
            </w:tcBorders>
            <w:shd w:val="clear" w:color="auto" w:fill="EAF1DD"/>
            <w:vAlign w:val="bottom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4.2%</w:t>
            </w:r>
          </w:p>
        </w:tc>
      </w:tr>
      <w:tr w:rsidR="009D7620" w:rsidRPr="00FB77EA" w:rsidTr="00F32441">
        <w:trPr>
          <w:gridAfter w:val="1"/>
          <w:wAfter w:w="21" w:type="dxa"/>
          <w:trHeight w:val="300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 xml:space="preserve">Total of this 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>country sample</w:t>
            </w:r>
          </w:p>
        </w:tc>
        <w:tc>
          <w:tcPr>
            <w:tcW w:w="1269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3D4D52"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>29,465,</w:t>
            </w: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101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14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18.6%</w:t>
            </w:r>
          </w:p>
        </w:tc>
        <w:tc>
          <w:tcPr>
            <w:tcW w:w="1233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3,322,768</w:t>
            </w:r>
          </w:p>
        </w:tc>
        <w:tc>
          <w:tcPr>
            <w:tcW w:w="170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ind w:right="22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2,226,254</w:t>
            </w:r>
          </w:p>
        </w:tc>
        <w:tc>
          <w:tcPr>
            <w:tcW w:w="189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tabs>
                <w:tab w:val="left" w:pos="7208"/>
              </w:tabs>
              <w:spacing w:before="0" w:after="0" w:line="240" w:lineRule="auto"/>
              <w:ind w:right="214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2,003,629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157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34.9</w:t>
            </w:r>
            <w:r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ind w:right="23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698,720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EAF1DD"/>
            <w:noWrap/>
            <w:vAlign w:val="center"/>
            <w:hideMark/>
          </w:tcPr>
          <w:p w:rsidR="009D7620" w:rsidRPr="00FB77EA" w:rsidRDefault="009D7620" w:rsidP="00F32441">
            <w:pPr>
              <w:tabs>
                <w:tab w:val="left" w:pos="829"/>
              </w:tabs>
              <w:spacing w:before="0" w:after="0" w:line="240" w:lineRule="auto"/>
              <w:ind w:right="165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2.4%</w:t>
            </w:r>
          </w:p>
        </w:tc>
        <w:tc>
          <w:tcPr>
            <w:tcW w:w="1482" w:type="dxa"/>
            <w:tcBorders>
              <w:top w:val="single" w:sz="18" w:space="0" w:color="auto"/>
            </w:tcBorders>
            <w:shd w:val="clear" w:color="auto" w:fill="EAF1DD"/>
            <w:vAlign w:val="center"/>
          </w:tcPr>
          <w:p w:rsidR="009D7620" w:rsidRPr="003D4D52" w:rsidRDefault="009D7620" w:rsidP="00F32441">
            <w:pPr>
              <w:spacing w:before="0" w:after="0" w:line="240" w:lineRule="auto"/>
              <w:ind w:right="355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6.8%</w:t>
            </w:r>
          </w:p>
        </w:tc>
      </w:tr>
    </w:tbl>
    <w:p w:rsidR="009D7620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5.</w:t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t xml:space="preserve">Table 2: Calculation of the tax losses in million </w:t>
      </w:r>
      <w:proofErr w:type="spellStart"/>
      <w:r>
        <w:rPr>
          <w:lang w:val="en-US"/>
        </w:rPr>
        <w:t>euros</w:t>
      </w:r>
      <w:proofErr w:type="spellEnd"/>
      <w:r>
        <w:rPr>
          <w:lang w:val="en-US"/>
        </w:rPr>
        <w:t xml:space="preserve"> and in % of GDP for 28 EU, 3 non-EU and 2 other highly-developed OECD countries for the year </w:t>
      </w:r>
      <w:r w:rsidRPr="00896F4E">
        <w:rPr>
          <w:b/>
          <w:lang w:val="en-US"/>
        </w:rPr>
        <w:t>201</w:t>
      </w:r>
      <w:r>
        <w:rPr>
          <w:b/>
          <w:lang w:val="en-US"/>
        </w:rPr>
        <w:t>2</w:t>
      </w:r>
    </w:p>
    <w:tbl>
      <w:tblPr>
        <w:tblW w:w="146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58"/>
        <w:gridCol w:w="1276"/>
        <w:gridCol w:w="1134"/>
        <w:gridCol w:w="1276"/>
        <w:gridCol w:w="1701"/>
        <w:gridCol w:w="1842"/>
        <w:gridCol w:w="1276"/>
        <w:gridCol w:w="1418"/>
        <w:gridCol w:w="1417"/>
        <w:gridCol w:w="1418"/>
      </w:tblGrid>
      <w:tr w:rsidR="009D7620" w:rsidRPr="00FB77EA" w:rsidTr="00F32441">
        <w:trPr>
          <w:trHeight w:val="1757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lastRenderedPageBreak/>
              <w:t> </w:t>
            </w: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Country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(1)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GDP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euros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(2)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Shadow Economy in % of GDP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(3)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(4)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33% material and double counting (in Mio. </w:t>
            </w:r>
            <w:proofErr w:type="spellStart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(5)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Corrected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(4)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10%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illegal transactions abroad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(6)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Taxes and Social Security Contribution Burden in % of GDP</w:t>
            </w:r>
          </w:p>
        </w:tc>
        <w:tc>
          <w:tcPr>
            <w:tcW w:w="1418" w:type="dxa"/>
            <w:shd w:val="clear" w:color="auto" w:fill="DAEEF3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(7)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417" w:type="dxa"/>
            <w:shd w:val="clear" w:color="auto" w:fill="DAEEF3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(8)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(9)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Tax loss in 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Austria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309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Belgium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376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63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417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981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1%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Bulgaria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654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478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075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Croatia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530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Cyprus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068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878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4%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 xml:space="preserve">Czech </w:t>
            </w: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Republic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152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452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043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Denmark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244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064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705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912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1%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Estonia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793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Finland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194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469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675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France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029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877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219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146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882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132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61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Germany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643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351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235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598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038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83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543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Greece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193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487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Hungary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97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995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Ireland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163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921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Italy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565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338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226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619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203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958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88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Latvia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991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trHeight w:val="369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Lithuania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782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tabs>
                <w:tab w:val="left" w:pos="1064"/>
              </w:tabs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356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634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6764D9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Pr="006764D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6764D9">
              <w:rPr>
                <w:color w:val="000000"/>
                <w:sz w:val="22"/>
                <w:szCs w:val="22"/>
              </w:rPr>
              <w:t>532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6764D9" w:rsidRDefault="009D7620" w:rsidP="00F32441">
            <w:pPr>
              <w:tabs>
                <w:tab w:val="left" w:pos="6734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6764D9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764D9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47226A" w:rsidTr="00F32441">
        <w:trPr>
          <w:trHeight w:val="300"/>
        </w:trPr>
        <w:tc>
          <w:tcPr>
            <w:tcW w:w="1461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D7620" w:rsidRPr="0047226A" w:rsidRDefault="009D7620" w:rsidP="00F32441">
            <w:pPr>
              <w:ind w:right="215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Table 2: Calculation of the tax losses in million </w:t>
            </w:r>
            <w:proofErr w:type="spellStart"/>
            <w:r>
              <w:rPr>
                <w:lang w:val="en-US"/>
              </w:rPr>
              <w:t>euros</w:t>
            </w:r>
            <w:proofErr w:type="spellEnd"/>
            <w:r>
              <w:rPr>
                <w:lang w:val="en-US"/>
              </w:rPr>
              <w:t xml:space="preserve"> and in % of GDP for 28 EU, 3 non-EU and 2 other highly-developed OECD countries for the year </w:t>
            </w:r>
            <w:r w:rsidRPr="00896F4E">
              <w:rPr>
                <w:b/>
                <w:lang w:val="en-US"/>
              </w:rPr>
              <w:t>201</w:t>
            </w:r>
            <w:r>
              <w:rPr>
                <w:b/>
                <w:lang w:val="en-US"/>
              </w:rPr>
              <w:t>2 (cont.)</w:t>
            </w:r>
          </w:p>
        </w:tc>
      </w:tr>
      <w:tr w:rsidR="009D7620" w:rsidRPr="00FB77EA" w:rsidTr="00F32441">
        <w:trPr>
          <w:trHeight w:val="1701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lastRenderedPageBreak/>
              <w:t> </w:t>
            </w: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Country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(1)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GDP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euros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(2)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Shadow Economy in % of GDP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(3)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(4)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33% material and double counting (in Mio. </w:t>
            </w:r>
            <w:proofErr w:type="spellStart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(5)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Corrected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(4)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10%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illegal transactions abroad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(6)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Taxes and Social Security Contribution Burden in % of GDP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(7)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(8)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(9)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Tax loss in 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Luxembourg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429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864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Malta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756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709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Netherlands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600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061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696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Poland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381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93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052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62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516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Portugal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165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089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753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Romania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131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685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496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Slovenia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608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872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Spain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048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491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134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878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121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Slovakia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71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422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897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Sweden</w:t>
            </w:r>
            <w:proofErr w:type="spellEnd"/>
            <w:r w:rsidRPr="00FB77EA">
              <w:rPr>
                <w:color w:val="000000"/>
                <w:sz w:val="22"/>
                <w:szCs w:val="22"/>
                <w:lang w:val="de-AT" w:eastAsia="de-A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408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638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 xml:space="preserve">United </w:t>
            </w: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Kingdom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901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192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128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777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sz w:val="22"/>
                <w:szCs w:val="22"/>
              </w:rPr>
            </w:pPr>
            <w:r w:rsidRPr="00D20F2F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</w:t>
            </w:r>
            <w:r w:rsidRPr="00D20F2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985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1%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Subtotal</w:t>
            </w:r>
            <w:proofErr w:type="spellEnd"/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 xml:space="preserve"> (EU-28)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12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941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403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19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3%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915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283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191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154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872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39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457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5%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35D7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D35D7">
              <w:rPr>
                <w:b/>
                <w:bCs/>
                <w:color w:val="000000"/>
                <w:sz w:val="22"/>
                <w:szCs w:val="22"/>
              </w:rPr>
              <w:t>9%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Norway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390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009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859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FB77EA">
              <w:rPr>
                <w:color w:val="000000"/>
                <w:sz w:val="22"/>
                <w:szCs w:val="22"/>
                <w:lang w:val="de-AT" w:eastAsia="de-AT"/>
              </w:rPr>
              <w:t>Switzerland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491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987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052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547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088</w:t>
            </w:r>
          </w:p>
        </w:tc>
        <w:tc>
          <w:tcPr>
            <w:tcW w:w="1417" w:type="dxa"/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Turkey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612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413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166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111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445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723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4%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Japan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635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676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407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273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245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988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72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566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FB77EA" w:rsidTr="00F32441">
        <w:trPr>
          <w:trHeight w:val="300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color w:val="000000"/>
                <w:sz w:val="22"/>
                <w:szCs w:val="22"/>
                <w:lang w:val="de-AT" w:eastAsia="de-AT"/>
              </w:rPr>
              <w:t>United States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580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880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623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590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531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015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129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D20F2F">
              <w:rPr>
                <w:color w:val="000000"/>
                <w:sz w:val="22"/>
                <w:szCs w:val="22"/>
              </w:rPr>
              <w:t>568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D20F2F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D20F2F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6764D9" w:rsidTr="00F32441">
        <w:trPr>
          <w:trHeight w:val="315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 xml:space="preserve">Total of this 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>country sample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31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651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18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3%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463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34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320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291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49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088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4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35.3%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7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737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220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AEEF3"/>
            <w:noWrap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ind w:right="21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DAEEF3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35D7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D35D7">
              <w:rPr>
                <w:b/>
                <w:bCs/>
                <w:color w:val="000000"/>
                <w:sz w:val="22"/>
                <w:szCs w:val="22"/>
              </w:rPr>
              <w:t>6%</w:t>
            </w:r>
          </w:p>
        </w:tc>
      </w:tr>
    </w:tbl>
    <w:p w:rsidR="009D7620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5.</w:t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t xml:space="preserve">Table 3: Calculation of the tax losses in million </w:t>
      </w:r>
      <w:proofErr w:type="spellStart"/>
      <w:r>
        <w:rPr>
          <w:lang w:val="en-US"/>
        </w:rPr>
        <w:t>euros</w:t>
      </w:r>
      <w:proofErr w:type="spellEnd"/>
      <w:r>
        <w:rPr>
          <w:lang w:val="en-US"/>
        </w:rPr>
        <w:t xml:space="preserve"> and in % of GDP for 28 EU, 3 non-EU and 2 other highly-developed OECD countries for the year </w:t>
      </w:r>
      <w:r w:rsidRPr="00896F4E">
        <w:rPr>
          <w:b/>
          <w:lang w:val="en-US"/>
        </w:rPr>
        <w:t>201</w:t>
      </w:r>
      <w:r>
        <w:rPr>
          <w:b/>
          <w:lang w:val="en-US"/>
        </w:rPr>
        <w:t>3</w:t>
      </w:r>
    </w:p>
    <w:tbl>
      <w:tblPr>
        <w:tblW w:w="1461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58"/>
        <w:gridCol w:w="1276"/>
        <w:gridCol w:w="1134"/>
        <w:gridCol w:w="1276"/>
        <w:gridCol w:w="1701"/>
        <w:gridCol w:w="1842"/>
        <w:gridCol w:w="1276"/>
        <w:gridCol w:w="1276"/>
        <w:gridCol w:w="1559"/>
        <w:gridCol w:w="1418"/>
      </w:tblGrid>
      <w:tr w:rsidR="009D7620" w:rsidRPr="00896F4E" w:rsidTr="00F32441">
        <w:trPr>
          <w:trHeight w:val="1757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lastRenderedPageBreak/>
              <w:t> </w:t>
            </w: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Country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(1)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GDP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euros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(2)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Shadow Economy in % of GDP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(3)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(4)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33% material and double counting (in Mio. </w:t>
            </w:r>
            <w:proofErr w:type="spellStart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(5)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Corrected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(4)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10%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illegal transactions abroad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(6)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Taxes and Social Security Contribution Burden in % of GDP</w:t>
            </w:r>
          </w:p>
        </w:tc>
        <w:tc>
          <w:tcPr>
            <w:tcW w:w="1276" w:type="dxa"/>
            <w:shd w:val="clear" w:color="auto" w:fill="E5DFEC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(7)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559" w:type="dxa"/>
            <w:shd w:val="clear" w:color="auto" w:fill="E5DFEC"/>
            <w:vAlign w:val="center"/>
            <w:hideMark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(8)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(9)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Tax loss in 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Austria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319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034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Belgium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385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Bulgaria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878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628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Croatia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737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534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1%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Cyprus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961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842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 xml:space="preserve">Czech </w:t>
            </w: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Republic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154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034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036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Denmark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249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751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Estonia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979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961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6%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Finland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198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France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061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204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090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740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Germany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697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350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719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234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982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211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747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Greece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182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924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658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Hungary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102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711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Ireland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167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684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732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4%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Italy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576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332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657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222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057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Latvia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004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023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017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4%</w:t>
            </w:r>
          </w:p>
        </w:tc>
      </w:tr>
      <w:tr w:rsidR="009D7620" w:rsidRPr="00896F4E" w:rsidTr="00F32441">
        <w:trPr>
          <w:trHeight w:val="34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Lithuania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722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514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07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595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D720EC" w:rsidTr="00F32441">
        <w:trPr>
          <w:trHeight w:val="300"/>
        </w:trPr>
        <w:tc>
          <w:tcPr>
            <w:tcW w:w="1461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D7620" w:rsidRPr="00D720EC" w:rsidRDefault="009D7620" w:rsidP="00F32441">
            <w:pPr>
              <w:rPr>
                <w:lang w:val="en-US"/>
              </w:rPr>
            </w:pPr>
            <w:r>
              <w:rPr>
                <w:lang w:val="en-US"/>
              </w:rPr>
              <w:t xml:space="preserve">Table 3: Calculation of the tax losses in million </w:t>
            </w:r>
            <w:proofErr w:type="spellStart"/>
            <w:r>
              <w:rPr>
                <w:lang w:val="en-US"/>
              </w:rPr>
              <w:t>euros</w:t>
            </w:r>
            <w:proofErr w:type="spellEnd"/>
            <w:r>
              <w:rPr>
                <w:lang w:val="en-US"/>
              </w:rPr>
              <w:t xml:space="preserve"> and in % of GDP for 28 EU, 3 non-EU and 2 other highly-developed OECD countries for the year </w:t>
            </w:r>
            <w:r w:rsidRPr="00896F4E">
              <w:rPr>
                <w:b/>
                <w:lang w:val="en-US"/>
              </w:rPr>
              <w:t>201</w:t>
            </w:r>
            <w:r>
              <w:rPr>
                <w:b/>
                <w:lang w:val="en-US"/>
              </w:rPr>
              <w:t>3 (cont.)</w:t>
            </w:r>
          </w:p>
        </w:tc>
      </w:tr>
      <w:tr w:rsidR="009D7620" w:rsidRPr="00896F4E" w:rsidTr="00F32441">
        <w:trPr>
          <w:trHeight w:val="1701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lastRenderedPageBreak/>
              <w:t> </w:t>
            </w: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Country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(1)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GDP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de-AT" w:eastAsia="de-AT"/>
              </w:rPr>
              <w:t>euros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(2)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Shadow Economy in % of GDP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(3)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(4)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33% material and double counting (in Mio. </w:t>
            </w:r>
            <w:proofErr w:type="spellStart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(5)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Corrected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Shadow Economy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(4) </w:t>
            </w:r>
            <w:r w:rsidRPr="00124462">
              <w:rPr>
                <w:b/>
                <w:i/>
                <w:color w:val="000000"/>
                <w:sz w:val="22"/>
                <w:szCs w:val="22"/>
                <w:lang w:val="en-US" w:eastAsia="de-AT"/>
              </w:rPr>
              <w:t>minus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10% </w:t>
            </w: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t>illegal transactions abroad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(6)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Taxes and Social Security Contribution Burden in % of GDP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(7)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(8)</w:t>
            </w:r>
          </w:p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(9)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Tax loss in 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Luxembourg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446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892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Malta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7%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Netherlands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606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007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556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Poland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400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95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780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4%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Portugal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163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796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056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5%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Romania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577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517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539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1%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Slovenia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454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9%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Spain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051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195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641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079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117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Slovakia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73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099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436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035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Sweden</w:t>
            </w:r>
            <w:proofErr w:type="spellEnd"/>
            <w:r w:rsidRPr="00896F4E">
              <w:rPr>
                <w:color w:val="000000"/>
                <w:sz w:val="22"/>
                <w:szCs w:val="22"/>
                <w:lang w:val="de-AT" w:eastAsia="de-AT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422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9%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746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834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4%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 xml:space="preserve">United </w:t>
            </w: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Kingdom</w:t>
            </w:r>
            <w:proofErr w:type="spellEnd"/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950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189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745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114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070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sz w:val="22"/>
                <w:szCs w:val="22"/>
              </w:rPr>
            </w:pPr>
            <w:r w:rsidRPr="00896F4E">
              <w:rPr>
                <w:sz w:val="22"/>
                <w:szCs w:val="22"/>
              </w:rPr>
              <w:t>35</w:t>
            </w:r>
            <w:r>
              <w:rPr>
                <w:sz w:val="22"/>
                <w:szCs w:val="22"/>
              </w:rPr>
              <w:t>.</w:t>
            </w:r>
            <w:r w:rsidRPr="00896F4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8%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Subtotal</w:t>
            </w:r>
            <w:proofErr w:type="spellEnd"/>
            <w:r w:rsidRPr="00896F4E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 xml:space="preserve"> (EU-28)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13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172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968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18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883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261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724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135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552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40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454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DFEC"/>
            <w:noWrap/>
            <w:vAlign w:val="center"/>
          </w:tcPr>
          <w:p w:rsidR="009D7620" w:rsidRPr="00DF4929" w:rsidRDefault="009D7620" w:rsidP="00F32441">
            <w:pPr>
              <w:spacing w:before="0" w:after="0" w:line="240" w:lineRule="auto"/>
              <w:ind w:right="213"/>
              <w:jc w:val="right"/>
              <w:rPr>
                <w:b/>
                <w:color w:val="000000"/>
                <w:sz w:val="22"/>
                <w:szCs w:val="22"/>
              </w:rPr>
            </w:pPr>
            <w:r w:rsidRPr="00DF4929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DF4929">
              <w:rPr>
                <w:b/>
                <w:color w:val="000000"/>
                <w:sz w:val="22"/>
                <w:szCs w:val="22"/>
              </w:rPr>
              <w:t>4%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35D7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D35D7">
              <w:rPr>
                <w:b/>
                <w:bCs/>
                <w:color w:val="000000"/>
                <w:sz w:val="22"/>
                <w:szCs w:val="22"/>
              </w:rPr>
              <w:t>6%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Norway</w:t>
            </w:r>
            <w:proofErr w:type="spellEnd"/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416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604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925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40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824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2%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896F4E">
              <w:rPr>
                <w:color w:val="000000"/>
                <w:sz w:val="22"/>
                <w:szCs w:val="22"/>
                <w:lang w:val="de-AT" w:eastAsia="de-AT"/>
              </w:rPr>
              <w:t>Switzerland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507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405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026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27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909</w:t>
            </w:r>
          </w:p>
        </w:tc>
        <w:tc>
          <w:tcPr>
            <w:tcW w:w="1559" w:type="dxa"/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3%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Turkey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667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431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176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869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118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502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106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652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31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Japan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702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977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1%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299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961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180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865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de-AT" w:eastAsia="de-AT"/>
              </w:rPr>
            </w:pPr>
            <w:r w:rsidRPr="00896F4E">
              <w:rPr>
                <w:color w:val="000000"/>
                <w:sz w:val="22"/>
                <w:szCs w:val="22"/>
                <w:lang w:val="de-AT" w:eastAsia="de-AT"/>
              </w:rPr>
              <w:t>United States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625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631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6%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833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558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502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475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25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1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127</w:t>
            </w:r>
            <w:r>
              <w:rPr>
                <w:color w:val="000000"/>
                <w:sz w:val="22"/>
                <w:szCs w:val="22"/>
              </w:rPr>
              <w:t>,</w:t>
            </w:r>
            <w:r w:rsidRPr="00896F4E"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5DFEC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color w:val="000000"/>
                <w:sz w:val="22"/>
                <w:szCs w:val="22"/>
              </w:rPr>
            </w:pPr>
            <w:r w:rsidRPr="00896F4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  <w:r w:rsidRPr="00896F4E">
              <w:rPr>
                <w:color w:val="000000"/>
                <w:sz w:val="22"/>
                <w:szCs w:val="22"/>
              </w:rPr>
              <w:t>0%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color w:val="000000"/>
                <w:sz w:val="22"/>
                <w:szCs w:val="22"/>
              </w:rPr>
            </w:pPr>
            <w:r w:rsidRPr="009D35D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D35D7">
              <w:rPr>
                <w:color w:val="000000"/>
                <w:sz w:val="22"/>
                <w:szCs w:val="22"/>
              </w:rPr>
              <w:t>0%</w:t>
            </w:r>
          </w:p>
        </w:tc>
      </w:tr>
      <w:tr w:rsidR="009D7620" w:rsidRPr="00896F4E" w:rsidTr="00F32441">
        <w:trPr>
          <w:trHeight w:val="295"/>
        </w:trPr>
        <w:tc>
          <w:tcPr>
            <w:tcW w:w="185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 xml:space="preserve">Total of this </w:t>
            </w:r>
          </w:p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>country sample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31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092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620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21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17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72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285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ind w:right="349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201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554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1496"/>
              </w:tabs>
              <w:spacing w:before="0" w:after="0" w:line="240" w:lineRule="auto"/>
              <w:ind w:right="49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981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399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tabs>
                <w:tab w:val="right" w:pos="7875"/>
              </w:tabs>
              <w:spacing w:before="0" w:after="0" w:line="240" w:lineRule="auto"/>
              <w:ind w:right="21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36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E5DFEC"/>
            <w:noWrap/>
            <w:vAlign w:val="center"/>
          </w:tcPr>
          <w:p w:rsidR="009D7620" w:rsidRPr="00DF4929" w:rsidRDefault="009D7620" w:rsidP="00F32441">
            <w:pPr>
              <w:spacing w:before="0" w:after="0" w:line="240" w:lineRule="auto"/>
              <w:ind w:right="7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F4929">
              <w:rPr>
                <w:b/>
                <w:bCs/>
                <w:color w:val="000000"/>
                <w:sz w:val="22"/>
                <w:szCs w:val="22"/>
              </w:rPr>
              <w:t>713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F4929">
              <w:rPr>
                <w:b/>
                <w:bCs/>
                <w:color w:val="000000"/>
                <w:sz w:val="22"/>
                <w:szCs w:val="22"/>
              </w:rPr>
              <w:t>056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5DFEC"/>
            <w:noWrap/>
            <w:vAlign w:val="center"/>
          </w:tcPr>
          <w:p w:rsidR="009D7620" w:rsidRPr="00DF4929" w:rsidRDefault="009D7620" w:rsidP="00F32441">
            <w:pPr>
              <w:spacing w:before="0" w:after="0" w:line="240" w:lineRule="auto"/>
              <w:ind w:right="213"/>
              <w:jc w:val="right"/>
              <w:rPr>
                <w:b/>
                <w:color w:val="000000"/>
                <w:sz w:val="22"/>
                <w:szCs w:val="22"/>
              </w:rPr>
            </w:pPr>
            <w:r w:rsidRPr="00DF4929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DF4929">
              <w:rPr>
                <w:b/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5DFEC"/>
            <w:vAlign w:val="center"/>
          </w:tcPr>
          <w:p w:rsidR="009D7620" w:rsidRPr="009D35D7" w:rsidRDefault="009D7620" w:rsidP="00F32441">
            <w:pPr>
              <w:spacing w:before="0" w:after="0" w:line="240" w:lineRule="auto"/>
              <w:ind w:right="214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35D7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D35D7">
              <w:rPr>
                <w:b/>
                <w:bCs/>
                <w:color w:val="000000"/>
                <w:sz w:val="22"/>
                <w:szCs w:val="22"/>
              </w:rPr>
              <w:t>4%</w:t>
            </w:r>
          </w:p>
        </w:tc>
      </w:tr>
    </w:tbl>
    <w:p w:rsidR="009D7620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5.</w:t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t>Table 4: Summary of the most important results and some aggregate values of the tax losses from 2011 to 2013</w:t>
      </w:r>
    </w:p>
    <w:tbl>
      <w:tblPr>
        <w:tblW w:w="145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46"/>
        <w:gridCol w:w="1246"/>
        <w:gridCol w:w="1247"/>
        <w:gridCol w:w="1420"/>
        <w:gridCol w:w="1247"/>
        <w:gridCol w:w="1247"/>
        <w:gridCol w:w="1418"/>
        <w:gridCol w:w="1247"/>
        <w:gridCol w:w="1247"/>
        <w:gridCol w:w="1417"/>
      </w:tblGrid>
      <w:tr w:rsidR="009D7620" w:rsidRPr="00FB77EA" w:rsidTr="00F32441">
        <w:trPr>
          <w:trHeight w:val="360"/>
        </w:trPr>
        <w:tc>
          <w:tcPr>
            <w:tcW w:w="2846" w:type="dxa"/>
            <w:vMerge w:val="restart"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color w:val="000000"/>
                <w:sz w:val="22"/>
                <w:szCs w:val="22"/>
                <w:lang w:val="en-US" w:eastAsia="de-AT"/>
              </w:rPr>
              <w:lastRenderedPageBreak/>
              <w:t> </w:t>
            </w:r>
            <w:r w:rsidRPr="00896F4E">
              <w:rPr>
                <w:b/>
                <w:color w:val="000000"/>
                <w:sz w:val="22"/>
                <w:szCs w:val="22"/>
                <w:lang w:val="de-AT" w:eastAsia="de-AT"/>
              </w:rPr>
              <w:t>Country</w:t>
            </w:r>
          </w:p>
        </w:tc>
        <w:tc>
          <w:tcPr>
            <w:tcW w:w="3913" w:type="dxa"/>
            <w:gridSpan w:val="3"/>
            <w:shd w:val="clear" w:color="auto" w:fill="EAF1DD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2011</w:t>
            </w:r>
          </w:p>
        </w:tc>
        <w:tc>
          <w:tcPr>
            <w:tcW w:w="3912" w:type="dxa"/>
            <w:gridSpan w:val="3"/>
            <w:shd w:val="clear" w:color="auto" w:fill="DAEEF3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2012</w:t>
            </w:r>
          </w:p>
        </w:tc>
        <w:tc>
          <w:tcPr>
            <w:tcW w:w="3911" w:type="dxa"/>
            <w:gridSpan w:val="3"/>
            <w:shd w:val="clear" w:color="auto" w:fill="E5DFEC"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2013</w:t>
            </w:r>
          </w:p>
        </w:tc>
      </w:tr>
      <w:tr w:rsidR="009D7620" w:rsidRPr="00FB77EA" w:rsidTr="00F32441">
        <w:trPr>
          <w:trHeight w:val="1701"/>
        </w:trPr>
        <w:tc>
          <w:tcPr>
            <w:tcW w:w="2846" w:type="dxa"/>
            <w:vMerge/>
            <w:shd w:val="clear" w:color="auto" w:fill="auto"/>
            <w:noWrap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de-AT" w:eastAsia="de-AT"/>
              </w:rPr>
            </w:pPr>
          </w:p>
        </w:tc>
        <w:tc>
          <w:tcPr>
            <w:tcW w:w="1246" w:type="dxa"/>
            <w:shd w:val="clear" w:color="auto" w:fill="EAF1DD"/>
            <w:noWrap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e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uros</w:t>
            </w:r>
            <w:proofErr w:type="spellEnd"/>
          </w:p>
        </w:tc>
        <w:tc>
          <w:tcPr>
            <w:tcW w:w="1247" w:type="dxa"/>
            <w:shd w:val="clear" w:color="auto" w:fill="EAF1DD"/>
            <w:noWrap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20" w:type="dxa"/>
            <w:shd w:val="clear" w:color="auto" w:fill="EAF1DD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Tax loss in 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e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uros</w:t>
            </w:r>
            <w:proofErr w:type="spellEnd"/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Tax loss in 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e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uros</w:t>
            </w:r>
            <w:proofErr w:type="spellEnd"/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 loss due to the shadow economy in % of GDP</w:t>
            </w:r>
          </w:p>
        </w:tc>
        <w:tc>
          <w:tcPr>
            <w:tcW w:w="1417" w:type="dxa"/>
            <w:shd w:val="clear" w:color="auto" w:fill="E5DFEC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T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ax loss in 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% of total tax 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(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>and social security contribution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)</w:t>
            </w:r>
            <w:r w:rsidRPr="0064389B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receipts</w:t>
            </w:r>
          </w:p>
        </w:tc>
      </w:tr>
      <w:tr w:rsidR="009D7620" w:rsidRPr="00896F4E" w:rsidTr="00F32441">
        <w:trPr>
          <w:trHeight w:val="495"/>
        </w:trPr>
        <w:tc>
          <w:tcPr>
            <w:tcW w:w="2846" w:type="dxa"/>
            <w:shd w:val="clear" w:color="auto" w:fill="auto"/>
            <w:noWrap/>
            <w:vAlign w:val="center"/>
            <w:hideMark/>
          </w:tcPr>
          <w:p w:rsidR="009D7620" w:rsidRPr="00DF4929" w:rsidRDefault="009D7620" w:rsidP="00F32441">
            <w:pPr>
              <w:spacing w:before="0" w:after="0" w:line="240" w:lineRule="auto"/>
              <w:contextualSpacing/>
              <w:jc w:val="left"/>
              <w:rPr>
                <w:bCs/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 w:rsidRPr="00DF4929">
              <w:rPr>
                <w:bCs/>
                <w:color w:val="000000"/>
                <w:sz w:val="22"/>
                <w:szCs w:val="22"/>
                <w:lang w:val="de-AT" w:eastAsia="de-AT"/>
              </w:rPr>
              <w:t>Subtotal</w:t>
            </w:r>
            <w:proofErr w:type="spellEnd"/>
            <w:r w:rsidRPr="00DF4929">
              <w:rPr>
                <w:bCs/>
                <w:color w:val="000000"/>
                <w:sz w:val="22"/>
                <w:szCs w:val="22"/>
                <w:lang w:val="de-AT" w:eastAsia="de-AT"/>
              </w:rPr>
              <w:t xml:space="preserve"> EU-28</w:t>
            </w:r>
          </w:p>
        </w:tc>
        <w:tc>
          <w:tcPr>
            <w:tcW w:w="1246" w:type="dxa"/>
            <w:shd w:val="clear" w:color="auto" w:fill="EAF1DD"/>
            <w:noWrap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450,824</w:t>
            </w:r>
          </w:p>
        </w:tc>
        <w:tc>
          <w:tcPr>
            <w:tcW w:w="1247" w:type="dxa"/>
            <w:shd w:val="clear" w:color="auto" w:fill="EAF1DD"/>
            <w:noWrap/>
            <w:vAlign w:val="center"/>
          </w:tcPr>
          <w:p w:rsidR="009D7620" w:rsidRPr="00FB77EA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3.6%</w:t>
            </w:r>
          </w:p>
        </w:tc>
        <w:tc>
          <w:tcPr>
            <w:tcW w:w="1420" w:type="dxa"/>
            <w:shd w:val="clear" w:color="auto" w:fill="EAF1DD"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9.1%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457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20F2F">
              <w:rPr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D20F2F">
              <w:rPr>
                <w:b/>
                <w:bCs/>
                <w:color w:val="000000"/>
                <w:sz w:val="22"/>
                <w:szCs w:val="22"/>
              </w:rPr>
              <w:t>5%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D20F2F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35D7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D35D7">
              <w:rPr>
                <w:b/>
                <w:bCs/>
                <w:color w:val="000000"/>
                <w:sz w:val="22"/>
                <w:szCs w:val="22"/>
              </w:rPr>
              <w:t>9%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</w:rPr>
              <w:t>454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896F4E">
              <w:rPr>
                <w:b/>
                <w:bCs/>
                <w:color w:val="000000"/>
                <w:sz w:val="22"/>
                <w:szCs w:val="22"/>
              </w:rPr>
              <w:t>221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tabs>
                <w:tab w:val="left" w:pos="1158"/>
              </w:tabs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</w:rPr>
            </w:pPr>
            <w:r w:rsidRPr="00785945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785945">
              <w:rPr>
                <w:b/>
                <w:color w:val="000000"/>
                <w:sz w:val="22"/>
                <w:szCs w:val="22"/>
              </w:rPr>
              <w:t>4%</w:t>
            </w:r>
          </w:p>
        </w:tc>
        <w:tc>
          <w:tcPr>
            <w:tcW w:w="141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tabs>
                <w:tab w:val="left" w:pos="1158"/>
              </w:tabs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</w:rPr>
            </w:pPr>
            <w:r w:rsidRPr="009D35D7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D35D7">
              <w:rPr>
                <w:b/>
                <w:bCs/>
                <w:color w:val="000000"/>
                <w:sz w:val="22"/>
                <w:szCs w:val="22"/>
              </w:rPr>
              <w:t>6%</w:t>
            </w:r>
          </w:p>
        </w:tc>
      </w:tr>
      <w:tr w:rsidR="009D7620" w:rsidRPr="00DF4929" w:rsidTr="00F32441">
        <w:trPr>
          <w:trHeight w:val="700"/>
        </w:trPr>
        <w:tc>
          <w:tcPr>
            <w:tcW w:w="2846" w:type="dxa"/>
            <w:shd w:val="clear" w:color="auto" w:fill="auto"/>
            <w:noWrap/>
            <w:vAlign w:val="center"/>
            <w:hideMark/>
          </w:tcPr>
          <w:p w:rsidR="009D7620" w:rsidRPr="00DF4929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en-US" w:eastAsia="de-AT"/>
              </w:rPr>
            </w:pPr>
            <w:r w:rsidRPr="00DF4929">
              <w:rPr>
                <w:color w:val="000000"/>
                <w:sz w:val="22"/>
                <w:szCs w:val="22"/>
                <w:lang w:val="en-US" w:eastAsia="de-AT"/>
              </w:rPr>
              <w:t xml:space="preserve">Subtotal 3 non-EU countries </w:t>
            </w:r>
          </w:p>
        </w:tc>
        <w:tc>
          <w:tcPr>
            <w:tcW w:w="1246" w:type="dxa"/>
            <w:shd w:val="clear" w:color="auto" w:fill="EAF1DD"/>
            <w:noWrap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47,450</w:t>
            </w:r>
          </w:p>
        </w:tc>
        <w:tc>
          <w:tcPr>
            <w:tcW w:w="1247" w:type="dxa"/>
            <w:shd w:val="clear" w:color="auto" w:fill="EAF1DD"/>
            <w:noWrap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3.4%</w:t>
            </w:r>
          </w:p>
        </w:tc>
        <w:tc>
          <w:tcPr>
            <w:tcW w:w="1420" w:type="dxa"/>
            <w:shd w:val="clear" w:color="auto" w:fill="EAF1DD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10.6%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50,096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3.4%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10.5%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52,544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tabs>
                <w:tab w:val="left" w:pos="1158"/>
              </w:tabs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3.3%</w:t>
            </w:r>
          </w:p>
        </w:tc>
        <w:tc>
          <w:tcPr>
            <w:tcW w:w="141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tabs>
                <w:tab w:val="left" w:pos="1158"/>
              </w:tabs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10.2%</w:t>
            </w:r>
          </w:p>
        </w:tc>
      </w:tr>
      <w:tr w:rsidR="009D7620" w:rsidRPr="00DF4929" w:rsidTr="00F32441">
        <w:trPr>
          <w:trHeight w:val="555"/>
        </w:trPr>
        <w:tc>
          <w:tcPr>
            <w:tcW w:w="2846" w:type="dxa"/>
            <w:shd w:val="clear" w:color="auto" w:fill="auto"/>
            <w:noWrap/>
            <w:vAlign w:val="center"/>
          </w:tcPr>
          <w:p w:rsidR="009D7620" w:rsidRPr="00DF4929" w:rsidRDefault="009D7620" w:rsidP="00F32441">
            <w:pPr>
              <w:spacing w:before="0" w:after="0" w:line="240" w:lineRule="auto"/>
              <w:contextualSpacing/>
              <w:jc w:val="left"/>
              <w:rPr>
                <w:color w:val="000000"/>
                <w:sz w:val="22"/>
                <w:szCs w:val="22"/>
                <w:lang w:val="en-US" w:eastAsia="de-AT"/>
              </w:rPr>
            </w:pPr>
            <w:r w:rsidRPr="00DF4929">
              <w:rPr>
                <w:color w:val="000000"/>
                <w:sz w:val="22"/>
                <w:szCs w:val="22"/>
                <w:lang w:val="en-US" w:eastAsia="de-AT"/>
              </w:rPr>
              <w:t xml:space="preserve">Subtotal </w:t>
            </w:r>
            <w:r>
              <w:rPr>
                <w:color w:val="000000"/>
                <w:sz w:val="22"/>
                <w:szCs w:val="22"/>
                <w:lang w:val="en-US" w:eastAsia="de-AT"/>
              </w:rPr>
              <w:t>Japan and the United States</w:t>
            </w:r>
          </w:p>
        </w:tc>
        <w:tc>
          <w:tcPr>
            <w:tcW w:w="1246" w:type="dxa"/>
            <w:shd w:val="clear" w:color="auto" w:fill="EAF1DD"/>
            <w:noWrap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184,381</w:t>
            </w:r>
          </w:p>
        </w:tc>
        <w:tc>
          <w:tcPr>
            <w:tcW w:w="1247" w:type="dxa"/>
            <w:shd w:val="clear" w:color="auto" w:fill="EAF1DD"/>
            <w:noWrap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1.2%</w:t>
            </w:r>
          </w:p>
        </w:tc>
        <w:tc>
          <w:tcPr>
            <w:tcW w:w="1420" w:type="dxa"/>
            <w:shd w:val="clear" w:color="auto" w:fill="EAF1DD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4.6%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209,402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1.2%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4.5%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tabs>
                <w:tab w:val="left" w:pos="1158"/>
              </w:tabs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 w:rsidRPr="00785945"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tabs>
                <w:tab w:val="left" w:pos="1158"/>
              </w:tabs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-</w:t>
            </w:r>
          </w:p>
        </w:tc>
      </w:tr>
      <w:tr w:rsidR="009D7620" w:rsidRPr="00DF4929" w:rsidTr="00F32441">
        <w:trPr>
          <w:trHeight w:val="563"/>
        </w:trPr>
        <w:tc>
          <w:tcPr>
            <w:tcW w:w="2846" w:type="dxa"/>
            <w:shd w:val="clear" w:color="auto" w:fill="auto"/>
            <w:noWrap/>
            <w:vAlign w:val="center"/>
            <w:hideMark/>
          </w:tcPr>
          <w:p w:rsidR="009D7620" w:rsidRPr="00896F4E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</w:pPr>
            <w:r w:rsidRPr="00896F4E"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>Total of this country sample</w:t>
            </w:r>
            <w:r>
              <w:rPr>
                <w:b/>
                <w:bCs/>
                <w:color w:val="000000"/>
                <w:sz w:val="22"/>
                <w:szCs w:val="22"/>
                <w:lang w:val="en-US" w:eastAsia="de-AT"/>
              </w:rPr>
              <w:t xml:space="preserve"> with 33 countries </w:t>
            </w:r>
          </w:p>
        </w:tc>
        <w:tc>
          <w:tcPr>
            <w:tcW w:w="1246" w:type="dxa"/>
            <w:shd w:val="clear" w:color="auto" w:fill="EAF1DD"/>
            <w:noWrap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785945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698,720</w:t>
            </w:r>
          </w:p>
        </w:tc>
        <w:tc>
          <w:tcPr>
            <w:tcW w:w="1247" w:type="dxa"/>
            <w:shd w:val="clear" w:color="auto" w:fill="EAF1DD"/>
            <w:noWrap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</w:pPr>
            <w:r w:rsidRPr="00785945">
              <w:rPr>
                <w:b/>
                <w:bCs/>
                <w:color w:val="000000"/>
                <w:sz w:val="22"/>
                <w:szCs w:val="22"/>
                <w:lang w:val="de-AT" w:eastAsia="de-AT"/>
              </w:rPr>
              <w:t>2.4%</w:t>
            </w:r>
          </w:p>
        </w:tc>
        <w:tc>
          <w:tcPr>
            <w:tcW w:w="1420" w:type="dxa"/>
            <w:shd w:val="clear" w:color="auto" w:fill="EAF1DD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6.8%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85945">
              <w:rPr>
                <w:b/>
                <w:bCs/>
                <w:color w:val="000000"/>
                <w:sz w:val="22"/>
                <w:szCs w:val="22"/>
              </w:rPr>
              <w:t>737,220</w:t>
            </w:r>
          </w:p>
        </w:tc>
        <w:tc>
          <w:tcPr>
            <w:tcW w:w="1247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85945">
              <w:rPr>
                <w:b/>
                <w:bCs/>
                <w:color w:val="000000"/>
                <w:sz w:val="22"/>
                <w:szCs w:val="22"/>
              </w:rPr>
              <w:t>2.3%</w:t>
            </w:r>
          </w:p>
        </w:tc>
        <w:tc>
          <w:tcPr>
            <w:tcW w:w="1418" w:type="dxa"/>
            <w:shd w:val="clear" w:color="auto" w:fill="DAEEF3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D35D7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D35D7">
              <w:rPr>
                <w:b/>
                <w:bCs/>
                <w:color w:val="000000"/>
                <w:sz w:val="22"/>
                <w:szCs w:val="22"/>
              </w:rPr>
              <w:t>6%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spacing w:before="0" w:after="0" w:line="240" w:lineRule="auto"/>
              <w:contextualSpacing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85945">
              <w:rPr>
                <w:b/>
                <w:bCs/>
                <w:color w:val="000000"/>
                <w:sz w:val="22"/>
                <w:szCs w:val="22"/>
              </w:rPr>
              <w:t>713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Pr="00785945">
              <w:rPr>
                <w:b/>
                <w:bCs/>
                <w:color w:val="000000"/>
                <w:sz w:val="22"/>
                <w:szCs w:val="22"/>
              </w:rPr>
              <w:t>056</w:t>
            </w:r>
          </w:p>
        </w:tc>
        <w:tc>
          <w:tcPr>
            <w:tcW w:w="124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tabs>
                <w:tab w:val="left" w:pos="1158"/>
              </w:tabs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</w:rPr>
            </w:pPr>
            <w:r w:rsidRPr="0078594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785945">
              <w:rPr>
                <w:b/>
                <w:color w:val="000000"/>
                <w:sz w:val="22"/>
                <w:szCs w:val="22"/>
              </w:rPr>
              <w:t>3%</w:t>
            </w:r>
          </w:p>
        </w:tc>
        <w:tc>
          <w:tcPr>
            <w:tcW w:w="1417" w:type="dxa"/>
            <w:shd w:val="clear" w:color="auto" w:fill="E5DFEC"/>
            <w:vAlign w:val="center"/>
          </w:tcPr>
          <w:p w:rsidR="009D7620" w:rsidRPr="00785945" w:rsidRDefault="009D7620" w:rsidP="00F32441">
            <w:pPr>
              <w:tabs>
                <w:tab w:val="left" w:pos="1158"/>
              </w:tabs>
              <w:spacing w:before="0" w:after="0" w:line="240" w:lineRule="auto"/>
              <w:contextualSpacing/>
              <w:jc w:val="right"/>
              <w:rPr>
                <w:b/>
                <w:color w:val="000000"/>
                <w:sz w:val="22"/>
                <w:szCs w:val="22"/>
              </w:rPr>
            </w:pPr>
            <w:r w:rsidRPr="009D35D7">
              <w:rPr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9D35D7">
              <w:rPr>
                <w:b/>
                <w:bCs/>
                <w:color w:val="000000"/>
                <w:sz w:val="22"/>
                <w:szCs w:val="22"/>
              </w:rPr>
              <w:t>4%</w:t>
            </w:r>
          </w:p>
        </w:tc>
      </w:tr>
    </w:tbl>
    <w:p w:rsidR="009D7620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5.</w:t>
      </w:r>
    </w:p>
    <w:p w:rsidR="009D7620" w:rsidRPr="001A3593" w:rsidRDefault="009D7620" w:rsidP="009D7620">
      <w:pPr>
        <w:rPr>
          <w:lang w:val="en-US"/>
        </w:rPr>
      </w:pPr>
      <w:r w:rsidRPr="001A3593">
        <w:rPr>
          <w:lang w:val="en-US"/>
        </w:rPr>
        <w:br w:type="page"/>
      </w:r>
      <w:r w:rsidRPr="001A3593">
        <w:rPr>
          <w:lang w:val="en-US"/>
        </w:rPr>
        <w:lastRenderedPageBreak/>
        <w:t>Table 5: Comparison</w:t>
      </w:r>
      <w:r>
        <w:rPr>
          <w:lang w:val="en-US"/>
        </w:rPr>
        <w:t xml:space="preserve"> of the calculated tax losses by Schneider with the calculations of the </w:t>
      </w:r>
      <w:r w:rsidRPr="001A3593">
        <w:rPr>
          <w:lang w:val="en-US"/>
        </w:rPr>
        <w:t xml:space="preserve">Tax Justice Network (Richard Murphy) </w:t>
      </w:r>
      <w:r>
        <w:rPr>
          <w:lang w:val="en-US"/>
        </w:rPr>
        <w:t>for the year</w:t>
      </w:r>
      <w:r w:rsidRPr="001A3593">
        <w:rPr>
          <w:lang w:val="en-US"/>
        </w:rPr>
        <w:t xml:space="preserve"> 2011</w:t>
      </w:r>
    </w:p>
    <w:tbl>
      <w:tblPr>
        <w:tblW w:w="144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858"/>
        <w:gridCol w:w="1802"/>
        <w:gridCol w:w="1802"/>
        <w:gridCol w:w="1357"/>
        <w:gridCol w:w="2127"/>
        <w:gridCol w:w="2126"/>
        <w:gridCol w:w="1559"/>
        <w:gridCol w:w="1843"/>
      </w:tblGrid>
      <w:tr w:rsidR="009D7620" w:rsidRPr="00FB1B90" w:rsidTr="00F32441">
        <w:trPr>
          <w:trHeight w:val="1757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9D7620" w:rsidRPr="001A3593" w:rsidRDefault="009D7620" w:rsidP="00F32441">
            <w:pPr>
              <w:spacing w:before="0" w:after="0" w:line="240" w:lineRule="auto"/>
              <w:contextualSpacing/>
              <w:jc w:val="left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1A3593">
              <w:rPr>
                <w:b/>
                <w:color w:val="000000"/>
                <w:sz w:val="22"/>
                <w:szCs w:val="22"/>
                <w:lang w:val="en-US" w:eastAsia="de-AT"/>
              </w:rPr>
              <w:t> 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>Country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(1) 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Shadow Economy in % of GDP</w:t>
            </w: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 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</w:p>
          <w:p w:rsidR="009D7620" w:rsidRPr="00495886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Schneider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(2) 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Shadow Economy in % of GDP</w:t>
            </w: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 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</w:p>
          <w:p w:rsidR="009D7620" w:rsidRPr="00C053D9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Tax Justice Network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(3)</w:t>
            </w:r>
          </w:p>
          <w:p w:rsidR="009D7620" w:rsidRPr="00C053D9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Difference</w:t>
            </w:r>
            <w:proofErr w:type="spellEnd"/>
            <w:r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 (2)-(1)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(4)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  <w:r w:rsidRPr="00FB1B90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</w:t>
            </w:r>
          </w:p>
          <w:p w:rsidR="009D7620" w:rsidRPr="00FB1B9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</w:p>
          <w:p w:rsidR="009D7620" w:rsidRPr="00C053D9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Schneider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(5)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Tax</w:t>
            </w:r>
            <w:r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(and soc. sec. contr.)</w:t>
            </w:r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loss due to the shadow economy in Mio. </w:t>
            </w:r>
            <w:proofErr w:type="spellStart"/>
            <w:r w:rsidRPr="00FB77EA">
              <w:rPr>
                <w:b/>
                <w:color w:val="000000"/>
                <w:sz w:val="22"/>
                <w:szCs w:val="22"/>
                <w:lang w:val="en-US" w:eastAsia="de-AT"/>
              </w:rPr>
              <w:t>euros</w:t>
            </w:r>
            <w:proofErr w:type="spellEnd"/>
            <w:r w:rsidRPr="00FB1B90">
              <w:rPr>
                <w:b/>
                <w:color w:val="000000"/>
                <w:sz w:val="22"/>
                <w:szCs w:val="22"/>
                <w:lang w:val="en-US" w:eastAsia="de-AT"/>
              </w:rPr>
              <w:t xml:space="preserve"> </w:t>
            </w:r>
          </w:p>
          <w:p w:rsidR="009D7620" w:rsidRPr="00FB1B9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</w:p>
          <w:p w:rsidR="009D7620" w:rsidRPr="00FB1B9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1B90">
              <w:rPr>
                <w:b/>
                <w:color w:val="000000"/>
                <w:sz w:val="22"/>
                <w:szCs w:val="22"/>
                <w:lang w:val="en-US" w:eastAsia="de-AT"/>
              </w:rPr>
              <w:t>Tax Justice Network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(6)</w:t>
            </w:r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Difference</w:t>
            </w:r>
            <w:proofErr w:type="spellEnd"/>
          </w:p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(5)-(4)</w:t>
            </w:r>
          </w:p>
          <w:p w:rsidR="009D7620" w:rsidRPr="00C053D9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 xml:space="preserve">in Mio. </w:t>
            </w:r>
            <w:proofErr w:type="spellStart"/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euros</w:t>
            </w:r>
            <w:proofErr w:type="spellEnd"/>
          </w:p>
        </w:tc>
        <w:tc>
          <w:tcPr>
            <w:tcW w:w="1843" w:type="dxa"/>
            <w:vAlign w:val="center"/>
          </w:tcPr>
          <w:p w:rsidR="009D762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de-AT" w:eastAsia="de-AT"/>
              </w:rPr>
            </w:pPr>
            <w:r>
              <w:rPr>
                <w:b/>
                <w:color w:val="000000"/>
                <w:sz w:val="22"/>
                <w:szCs w:val="22"/>
                <w:lang w:val="de-AT" w:eastAsia="de-AT"/>
              </w:rPr>
              <w:t>(7)</w:t>
            </w:r>
          </w:p>
          <w:p w:rsidR="009D7620" w:rsidRPr="00FB1B9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  <w:r w:rsidRPr="00FB1B90">
              <w:rPr>
                <w:b/>
                <w:color w:val="000000"/>
                <w:sz w:val="22"/>
                <w:szCs w:val="22"/>
                <w:lang w:val="en-US" w:eastAsia="de-AT"/>
              </w:rPr>
              <w:t>(4) Calculations by Schneider in % of (5) calculations by the Tax Justice Network</w:t>
            </w:r>
          </w:p>
          <w:p w:rsidR="009D7620" w:rsidRPr="00FB1B90" w:rsidRDefault="009D7620" w:rsidP="00F32441">
            <w:pPr>
              <w:spacing w:before="0" w:after="0" w:line="240" w:lineRule="auto"/>
              <w:contextualSpacing/>
              <w:jc w:val="center"/>
              <w:rPr>
                <w:b/>
                <w:color w:val="000000"/>
                <w:sz w:val="22"/>
                <w:szCs w:val="22"/>
                <w:lang w:val="en-US" w:eastAsia="de-AT"/>
              </w:rPr>
            </w:pPr>
          </w:p>
        </w:tc>
      </w:tr>
      <w:tr w:rsidR="009D7620" w:rsidRPr="00896F4E" w:rsidTr="00F32441">
        <w:trPr>
          <w:trHeight w:val="666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7.0%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8.6%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+1.6%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242,348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7620" w:rsidRPr="00AE5F09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E5F09">
              <w:rPr>
                <w:b/>
                <w:color w:val="000000"/>
                <w:sz w:val="22"/>
                <w:szCs w:val="22"/>
              </w:rPr>
              <w:t>129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AE5F09">
              <w:rPr>
                <w:b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843" w:type="dxa"/>
            <w:vAlign w:val="center"/>
          </w:tcPr>
          <w:p w:rsidR="009D7620" w:rsidRPr="00CD2293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2293">
              <w:rPr>
                <w:b/>
                <w:color w:val="000000"/>
                <w:sz w:val="22"/>
                <w:szCs w:val="22"/>
              </w:rPr>
              <w:t>46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CD2293">
              <w:rPr>
                <w:b/>
                <w:color w:val="000000"/>
                <w:sz w:val="22"/>
                <w:szCs w:val="22"/>
              </w:rPr>
              <w:t>6%</w:t>
            </w:r>
          </w:p>
        </w:tc>
      </w:tr>
      <w:tr w:rsidR="009D7620" w:rsidRPr="00896F4E" w:rsidTr="00F32441">
        <w:trPr>
          <w:trHeight w:val="666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Italy</w:t>
            </w:r>
            <w:proofErr w:type="spellEnd"/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21.2%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27.0%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+5.8%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84,146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171,496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7620" w:rsidRPr="00AE5F09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E5F09">
              <w:rPr>
                <w:b/>
                <w:color w:val="000000"/>
                <w:sz w:val="22"/>
                <w:szCs w:val="22"/>
              </w:rPr>
              <w:t>87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AE5F09">
              <w:rPr>
                <w:b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843" w:type="dxa"/>
            <w:vAlign w:val="center"/>
          </w:tcPr>
          <w:p w:rsidR="009D7620" w:rsidRPr="00CD2293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2293">
              <w:rPr>
                <w:b/>
                <w:color w:val="000000"/>
                <w:sz w:val="22"/>
                <w:szCs w:val="22"/>
              </w:rPr>
              <w:t>49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CD2293">
              <w:rPr>
                <w:b/>
                <w:color w:val="000000"/>
                <w:sz w:val="22"/>
                <w:szCs w:val="22"/>
              </w:rPr>
              <w:t>1%</w:t>
            </w:r>
          </w:p>
        </w:tc>
      </w:tr>
      <w:tr w:rsidR="009D7620" w:rsidRPr="00896F4E" w:rsidTr="00F32441">
        <w:trPr>
          <w:trHeight w:val="666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13.7%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16.0%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+2.3%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82,887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154,451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7620" w:rsidRPr="00AE5F09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E5F09">
              <w:rPr>
                <w:b/>
                <w:color w:val="000000"/>
                <w:sz w:val="22"/>
                <w:szCs w:val="22"/>
              </w:rPr>
              <w:t>71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AE5F09">
              <w:rPr>
                <w:b/>
                <w:color w:val="000000"/>
                <w:sz w:val="22"/>
                <w:szCs w:val="22"/>
              </w:rPr>
              <w:t>564</w:t>
            </w:r>
          </w:p>
        </w:tc>
        <w:tc>
          <w:tcPr>
            <w:tcW w:w="1843" w:type="dxa"/>
            <w:vAlign w:val="center"/>
          </w:tcPr>
          <w:p w:rsidR="009D7620" w:rsidRPr="00CD2293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2293">
              <w:rPr>
                <w:b/>
                <w:color w:val="000000"/>
                <w:sz w:val="22"/>
                <w:szCs w:val="22"/>
              </w:rPr>
              <w:t>53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CD2293">
              <w:rPr>
                <w:b/>
                <w:color w:val="000000"/>
                <w:sz w:val="22"/>
                <w:szCs w:val="22"/>
              </w:rPr>
              <w:t>7%</w:t>
            </w:r>
          </w:p>
        </w:tc>
      </w:tr>
      <w:tr w:rsidR="009D7620" w:rsidRPr="00896F4E" w:rsidTr="00F32441">
        <w:trPr>
          <w:trHeight w:val="666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11.0%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15.0%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+4.0%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59,860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123,034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7620" w:rsidRPr="00AE5F09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E5F09">
              <w:rPr>
                <w:b/>
                <w:color w:val="000000"/>
                <w:sz w:val="22"/>
                <w:szCs w:val="22"/>
              </w:rPr>
              <w:t>63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AE5F09">
              <w:rPr>
                <w:b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843" w:type="dxa"/>
            <w:vAlign w:val="center"/>
          </w:tcPr>
          <w:p w:rsidR="009D7620" w:rsidRPr="00CD2293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2293">
              <w:rPr>
                <w:b/>
                <w:color w:val="000000"/>
                <w:sz w:val="22"/>
                <w:szCs w:val="22"/>
              </w:rPr>
              <w:t>48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CD2293">
              <w:rPr>
                <w:b/>
                <w:color w:val="000000"/>
                <w:sz w:val="22"/>
                <w:szCs w:val="22"/>
              </w:rPr>
              <w:t>7%</w:t>
            </w:r>
          </w:p>
        </w:tc>
      </w:tr>
      <w:tr w:rsidR="009D7620" w:rsidRPr="00896F4E" w:rsidTr="00F32441">
        <w:trPr>
          <w:trHeight w:val="666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9.0%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11.0%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+2.0%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65,928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122,950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7620" w:rsidRPr="00AE5F09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E5F09">
              <w:rPr>
                <w:b/>
                <w:color w:val="000000"/>
                <w:sz w:val="22"/>
                <w:szCs w:val="22"/>
              </w:rPr>
              <w:t>57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AE5F09">
              <w:rPr>
                <w:b/>
                <w:color w:val="000000"/>
                <w:sz w:val="22"/>
                <w:szCs w:val="22"/>
              </w:rPr>
              <w:t>022</w:t>
            </w:r>
          </w:p>
        </w:tc>
        <w:tc>
          <w:tcPr>
            <w:tcW w:w="1843" w:type="dxa"/>
            <w:vAlign w:val="center"/>
          </w:tcPr>
          <w:p w:rsidR="009D7620" w:rsidRPr="00CD2293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2293">
              <w:rPr>
                <w:b/>
                <w:color w:val="000000"/>
                <w:sz w:val="22"/>
                <w:szCs w:val="22"/>
              </w:rPr>
              <w:t>53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CD2293">
              <w:rPr>
                <w:b/>
                <w:color w:val="000000"/>
                <w:sz w:val="22"/>
                <w:szCs w:val="22"/>
              </w:rPr>
              <w:t>6%</w:t>
            </w:r>
          </w:p>
        </w:tc>
      </w:tr>
      <w:tr w:rsidR="009D7620" w:rsidRPr="00896F4E" w:rsidTr="00F32441">
        <w:trPr>
          <w:trHeight w:val="666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United </w:t>
            </w:r>
            <w:proofErr w:type="spellStart"/>
            <w:r>
              <w:rPr>
                <w:color w:val="000000"/>
                <w:sz w:val="22"/>
                <w:szCs w:val="22"/>
              </w:rPr>
              <w:t>Kingdom</w:t>
            </w:r>
            <w:proofErr w:type="spellEnd"/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10.5%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12.5%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+2.0%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39,811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7620" w:rsidRPr="00AE5F09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E5F09">
              <w:rPr>
                <w:b/>
                <w:color w:val="000000"/>
                <w:sz w:val="22"/>
                <w:szCs w:val="22"/>
              </w:rPr>
              <w:t>38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AE5F09">
              <w:rPr>
                <w:b/>
                <w:color w:val="000000"/>
                <w:sz w:val="22"/>
                <w:szCs w:val="22"/>
              </w:rPr>
              <w:t>648</w:t>
            </w:r>
          </w:p>
        </w:tc>
        <w:tc>
          <w:tcPr>
            <w:tcW w:w="1843" w:type="dxa"/>
            <w:vAlign w:val="center"/>
          </w:tcPr>
          <w:p w:rsidR="009D7620" w:rsidRPr="00CD2293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2293">
              <w:rPr>
                <w:b/>
                <w:color w:val="000000"/>
                <w:sz w:val="22"/>
                <w:szCs w:val="22"/>
              </w:rPr>
              <w:t>50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CD2293">
              <w:rPr>
                <w:b/>
                <w:color w:val="000000"/>
                <w:sz w:val="22"/>
                <w:szCs w:val="22"/>
              </w:rPr>
              <w:t>7%</w:t>
            </w:r>
          </w:p>
        </w:tc>
      </w:tr>
      <w:tr w:rsidR="009D7620" w:rsidRPr="00896F4E" w:rsidTr="00F32441">
        <w:trPr>
          <w:trHeight w:val="666"/>
        </w:trPr>
        <w:tc>
          <w:tcPr>
            <w:tcW w:w="1858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19.2%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22.5%</w:t>
            </w:r>
          </w:p>
        </w:tc>
        <w:tc>
          <w:tcPr>
            <w:tcW w:w="135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+3.3%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39,272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D7620" w:rsidRDefault="009D7620" w:rsidP="00F32441">
            <w:pPr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77,119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D7620" w:rsidRPr="00AE5F09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AE5F09">
              <w:rPr>
                <w:b/>
                <w:color w:val="000000"/>
                <w:sz w:val="22"/>
                <w:szCs w:val="22"/>
              </w:rPr>
              <w:t>37</w:t>
            </w:r>
            <w:r>
              <w:rPr>
                <w:b/>
                <w:color w:val="000000"/>
                <w:sz w:val="22"/>
                <w:szCs w:val="22"/>
              </w:rPr>
              <w:t>,</w:t>
            </w:r>
            <w:r w:rsidRPr="00AE5F09">
              <w:rPr>
                <w:b/>
                <w:color w:val="000000"/>
                <w:sz w:val="22"/>
                <w:szCs w:val="22"/>
              </w:rPr>
              <w:t>847</w:t>
            </w:r>
          </w:p>
        </w:tc>
        <w:tc>
          <w:tcPr>
            <w:tcW w:w="1843" w:type="dxa"/>
            <w:vAlign w:val="center"/>
          </w:tcPr>
          <w:p w:rsidR="009D7620" w:rsidRPr="00CD2293" w:rsidRDefault="009D7620" w:rsidP="00F32441">
            <w:pPr>
              <w:spacing w:before="0" w:after="0" w:line="24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CD2293">
              <w:rPr>
                <w:b/>
                <w:color w:val="000000"/>
                <w:sz w:val="22"/>
                <w:szCs w:val="22"/>
              </w:rPr>
              <w:t>50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  <w:r w:rsidRPr="00CD2293">
              <w:rPr>
                <w:b/>
                <w:color w:val="000000"/>
                <w:sz w:val="22"/>
                <w:szCs w:val="22"/>
              </w:rPr>
              <w:t>9%</w:t>
            </w:r>
          </w:p>
        </w:tc>
      </w:tr>
    </w:tbl>
    <w:p w:rsidR="009D7620" w:rsidRPr="001A3593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</w:t>
      </w:r>
      <w:r w:rsidRPr="001A3593">
        <w:rPr>
          <w:lang w:val="en-US"/>
        </w:rPr>
        <w:t>; Richard Murphy, The Tax Justice Network (2011).</w:t>
      </w:r>
    </w:p>
    <w:p w:rsidR="009D7620" w:rsidRPr="001A3593" w:rsidRDefault="009D7620" w:rsidP="009D7620">
      <w:pPr>
        <w:rPr>
          <w:lang w:val="en-US"/>
        </w:rPr>
      </w:pPr>
    </w:p>
    <w:p w:rsidR="009D7620" w:rsidRDefault="009D7620" w:rsidP="009D7620">
      <w:pPr>
        <w:rPr>
          <w:lang w:val="en-US"/>
        </w:rPr>
      </w:pPr>
      <w:r w:rsidRPr="001A3593">
        <w:rPr>
          <w:lang w:val="en-US"/>
        </w:rPr>
        <w:br w:type="page"/>
      </w:r>
      <w:r>
        <w:rPr>
          <w:lang w:val="en-US"/>
        </w:rPr>
        <w:lastRenderedPageBreak/>
        <w:t>Figure 1a: Tax (and social security contribution) losses due to the shadow economy in % of GDP in 31 European countries in 2013</w:t>
      </w:r>
    </w:p>
    <w:p w:rsidR="009D7620" w:rsidRDefault="009D7620" w:rsidP="009D7620">
      <w:pPr>
        <w:rPr>
          <w:lang w:val="en-US"/>
        </w:rPr>
      </w:pPr>
      <w:r>
        <w:rPr>
          <w:noProof/>
          <w:lang w:val="tr-TR" w:eastAsia="tr-TR"/>
        </w:rPr>
        <w:drawing>
          <wp:inline distT="0" distB="0" distL="0" distR="0">
            <wp:extent cx="8743950" cy="4457700"/>
            <wp:effectExtent l="0" t="0" r="0" b="0"/>
            <wp:docPr id="1" name="Nesnes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5.</w:t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>Figure 1b: Tax (and social security contribution) losses due to the shadow economy in % of GDP in 31 European countries in 2013 according to size</w:t>
      </w:r>
    </w:p>
    <w:p w:rsidR="009D7620" w:rsidRDefault="009D7620" w:rsidP="009D7620">
      <w:pPr>
        <w:rPr>
          <w:lang w:val="en-US"/>
        </w:rPr>
      </w:pPr>
      <w:r>
        <w:rPr>
          <w:noProof/>
          <w:lang w:val="tr-TR" w:eastAsia="tr-TR"/>
        </w:rPr>
        <w:drawing>
          <wp:inline distT="0" distB="0" distL="0" distR="0">
            <wp:extent cx="8743950" cy="4457700"/>
            <wp:effectExtent l="0" t="0" r="0" b="0"/>
            <wp:docPr id="2" name="Nesnesi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5.</w:t>
      </w:r>
    </w:p>
    <w:p w:rsidR="009D7620" w:rsidRDefault="009D7620" w:rsidP="009D7620">
      <w:pPr>
        <w:ind w:left="993" w:hanging="993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 xml:space="preserve">Figure 2a: </w:t>
      </w:r>
      <w:r>
        <w:rPr>
          <w:lang w:val="en-US"/>
        </w:rPr>
        <w:tab/>
        <w:t>Tax (and social security contribution) losses due to the shadow economy in % of total tax and social security contribution receipts in 31 European countries in 2013</w:t>
      </w:r>
    </w:p>
    <w:p w:rsidR="009D7620" w:rsidRDefault="009D7620" w:rsidP="009D7620">
      <w:pPr>
        <w:rPr>
          <w:lang w:val="en-US"/>
        </w:rPr>
      </w:pPr>
      <w:r>
        <w:rPr>
          <w:noProof/>
          <w:lang w:val="tr-TR" w:eastAsia="tr-TR"/>
        </w:rPr>
        <w:drawing>
          <wp:inline distT="0" distB="0" distL="0" distR="0">
            <wp:extent cx="8743950" cy="4467225"/>
            <wp:effectExtent l="0" t="0" r="0" b="0"/>
            <wp:docPr id="3" name="Nesnes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5.</w:t>
      </w:r>
    </w:p>
    <w:p w:rsidR="009D7620" w:rsidRDefault="009D7620" w:rsidP="009D7620">
      <w:pPr>
        <w:ind w:left="993" w:hanging="993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 xml:space="preserve">Figure 2b: </w:t>
      </w:r>
      <w:r>
        <w:rPr>
          <w:lang w:val="en-US"/>
        </w:rPr>
        <w:tab/>
        <w:t>Tax (and social security contribution) losses due to the shadow economy in % of total tax and social security contribution receipts in 31 European countries in 2013 according to size</w:t>
      </w:r>
    </w:p>
    <w:p w:rsidR="009D7620" w:rsidRDefault="009D7620" w:rsidP="009D7620">
      <w:pPr>
        <w:rPr>
          <w:lang w:val="en-US"/>
        </w:rPr>
      </w:pPr>
      <w:r>
        <w:rPr>
          <w:noProof/>
          <w:lang w:val="tr-TR" w:eastAsia="tr-TR"/>
        </w:rPr>
        <w:drawing>
          <wp:inline distT="0" distB="0" distL="0" distR="0">
            <wp:extent cx="8763000" cy="4505325"/>
            <wp:effectExtent l="0" t="0" r="0" b="0"/>
            <wp:docPr id="4" name="Nesnesi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D7620" w:rsidRDefault="009D7620" w:rsidP="009D7620">
      <w:pPr>
        <w:rPr>
          <w:lang w:val="en-US"/>
        </w:rPr>
      </w:pPr>
      <w:r>
        <w:rPr>
          <w:lang w:val="en-US"/>
        </w:rPr>
        <w:t>Source: Own calculations (2015) and sources of the official data as given in part 5.</w:t>
      </w:r>
    </w:p>
    <w:p w:rsidR="009D7620" w:rsidRDefault="009D7620" w:rsidP="009D7620">
      <w:pPr>
        <w:rPr>
          <w:lang w:val="en-US"/>
        </w:rPr>
        <w:sectPr w:rsidR="009D7620" w:rsidSect="000B6737">
          <w:footerReference w:type="first" r:id="rId9"/>
          <w:pgSz w:w="16840" w:h="11907" w:orient="landscape" w:code="9"/>
          <w:pgMar w:top="1440" w:right="1440" w:bottom="1440" w:left="1440" w:header="720" w:footer="720" w:gutter="0"/>
          <w:cols w:space="720"/>
          <w:noEndnote/>
          <w:docGrid w:linePitch="272"/>
        </w:sectPr>
      </w:pPr>
    </w:p>
    <w:p w:rsidR="00477286" w:rsidRDefault="00477286"/>
    <w:sectPr w:rsidR="00477286" w:rsidSect="00477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9" w:rsidRPr="000B6737" w:rsidRDefault="009D7620" w:rsidP="000B6737">
    <w:pPr>
      <w:pStyle w:val="Altbilgi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731E"/>
    <w:multiLevelType w:val="hybridMultilevel"/>
    <w:tmpl w:val="335C9A7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752DB"/>
    <w:multiLevelType w:val="hybridMultilevel"/>
    <w:tmpl w:val="C08C6D5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8410F"/>
    <w:multiLevelType w:val="hybridMultilevel"/>
    <w:tmpl w:val="51BAE01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E2F3B"/>
    <w:multiLevelType w:val="hybridMultilevel"/>
    <w:tmpl w:val="53C649E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E373C"/>
    <w:multiLevelType w:val="hybridMultilevel"/>
    <w:tmpl w:val="4976BF5C"/>
    <w:lvl w:ilvl="0" w:tplc="0C070015">
      <w:start w:val="1"/>
      <w:numFmt w:val="decimal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55715"/>
    <w:multiLevelType w:val="multilevel"/>
    <w:tmpl w:val="C4E62966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509944CC"/>
    <w:multiLevelType w:val="hybridMultilevel"/>
    <w:tmpl w:val="21340E8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36C44"/>
    <w:multiLevelType w:val="hybridMultilevel"/>
    <w:tmpl w:val="641E622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915027"/>
    <w:multiLevelType w:val="hybridMultilevel"/>
    <w:tmpl w:val="60DC4C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620F1"/>
    <w:multiLevelType w:val="hybridMultilevel"/>
    <w:tmpl w:val="E61EB89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620"/>
    <w:rsid w:val="00477286"/>
    <w:rsid w:val="009D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20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alk1">
    <w:name w:val="heading 1"/>
    <w:basedOn w:val="Normal"/>
    <w:next w:val="Normal"/>
    <w:link w:val="Balk1Char"/>
    <w:qFormat/>
    <w:rsid w:val="009D7620"/>
    <w:pPr>
      <w:keepNext/>
      <w:widowControl w:val="0"/>
      <w:numPr>
        <w:numId w:val="1"/>
      </w:numPr>
      <w:spacing w:before="240" w:after="240"/>
      <w:ind w:left="431" w:hanging="431"/>
      <w:outlineLvl w:val="0"/>
    </w:pPr>
    <w:rPr>
      <w:b/>
      <w:snapToGrid w:val="0"/>
      <w:kern w:val="28"/>
      <w:sz w:val="24"/>
      <w:lang w:val="en-US"/>
    </w:rPr>
  </w:style>
  <w:style w:type="paragraph" w:styleId="Balk2">
    <w:name w:val="heading 2"/>
    <w:basedOn w:val="Normal"/>
    <w:next w:val="Normal"/>
    <w:link w:val="Balk2Char"/>
    <w:qFormat/>
    <w:rsid w:val="009D7620"/>
    <w:pPr>
      <w:keepNext/>
      <w:widowControl w:val="0"/>
      <w:numPr>
        <w:ilvl w:val="1"/>
        <w:numId w:val="1"/>
      </w:numPr>
      <w:spacing w:after="0"/>
      <w:ind w:left="578" w:hanging="578"/>
      <w:outlineLvl w:val="1"/>
    </w:pPr>
    <w:rPr>
      <w:b/>
      <w:i/>
      <w:snapToGrid w:val="0"/>
      <w:sz w:val="22"/>
      <w:lang w:val="en-US"/>
    </w:rPr>
  </w:style>
  <w:style w:type="paragraph" w:styleId="Balk3">
    <w:name w:val="heading 3"/>
    <w:basedOn w:val="Normal"/>
    <w:next w:val="Normal"/>
    <w:link w:val="Balk3Char"/>
    <w:qFormat/>
    <w:rsid w:val="009D7620"/>
    <w:pPr>
      <w:keepNext/>
      <w:widowControl w:val="0"/>
      <w:numPr>
        <w:ilvl w:val="2"/>
        <w:numId w:val="1"/>
      </w:numPr>
      <w:spacing w:before="240" w:after="0"/>
      <w:outlineLvl w:val="2"/>
    </w:pPr>
    <w:rPr>
      <w:b/>
      <w:snapToGrid w:val="0"/>
      <w:lang w:val="en-US"/>
    </w:rPr>
  </w:style>
  <w:style w:type="paragraph" w:styleId="Balk4">
    <w:name w:val="heading 4"/>
    <w:basedOn w:val="Normal"/>
    <w:next w:val="Normal"/>
    <w:link w:val="Balk4Char"/>
    <w:qFormat/>
    <w:rsid w:val="009D7620"/>
    <w:pPr>
      <w:keepNext/>
      <w:numPr>
        <w:ilvl w:val="3"/>
        <w:numId w:val="1"/>
      </w:numPr>
      <w:tabs>
        <w:tab w:val="left" w:pos="-1440"/>
      </w:tabs>
      <w:spacing w:after="58"/>
      <w:jc w:val="center"/>
      <w:outlineLvl w:val="3"/>
    </w:pPr>
    <w:rPr>
      <w:b/>
      <w:snapToGrid w:val="0"/>
      <w:sz w:val="22"/>
      <w:lang w:val="en-US"/>
    </w:rPr>
  </w:style>
  <w:style w:type="paragraph" w:styleId="Balk5">
    <w:name w:val="heading 5"/>
    <w:basedOn w:val="Normal"/>
    <w:next w:val="Normal"/>
    <w:link w:val="Balk5Char"/>
    <w:qFormat/>
    <w:rsid w:val="009D7620"/>
    <w:pPr>
      <w:keepNext/>
      <w:numPr>
        <w:ilvl w:val="4"/>
        <w:numId w:val="1"/>
      </w:numPr>
      <w:tabs>
        <w:tab w:val="left" w:pos="-1440"/>
      </w:tabs>
      <w:spacing w:after="58"/>
      <w:outlineLvl w:val="4"/>
    </w:pPr>
    <w:rPr>
      <w:b/>
      <w:snapToGrid w:val="0"/>
      <w:sz w:val="22"/>
      <w:lang w:val="en-US"/>
    </w:rPr>
  </w:style>
  <w:style w:type="paragraph" w:styleId="Balk6">
    <w:name w:val="heading 6"/>
    <w:basedOn w:val="Normal"/>
    <w:next w:val="Normal"/>
    <w:link w:val="Balk6Char"/>
    <w:qFormat/>
    <w:rsid w:val="009D7620"/>
    <w:pPr>
      <w:keepNext/>
      <w:numPr>
        <w:ilvl w:val="5"/>
        <w:numId w:val="1"/>
      </w:numPr>
      <w:tabs>
        <w:tab w:val="left" w:pos="-1440"/>
      </w:tabs>
      <w:spacing w:line="480" w:lineRule="auto"/>
      <w:outlineLvl w:val="5"/>
    </w:pPr>
    <w:rPr>
      <w:b/>
      <w:snapToGrid w:val="0"/>
      <w:sz w:val="24"/>
      <w:lang w:val="en-US"/>
    </w:rPr>
  </w:style>
  <w:style w:type="paragraph" w:styleId="Balk7">
    <w:name w:val="heading 7"/>
    <w:basedOn w:val="Normal"/>
    <w:next w:val="Normal"/>
    <w:link w:val="Balk7Char"/>
    <w:qFormat/>
    <w:rsid w:val="009D7620"/>
    <w:pPr>
      <w:keepNext/>
      <w:keepLines/>
      <w:numPr>
        <w:ilvl w:val="6"/>
        <w:numId w:val="1"/>
      </w:numPr>
      <w:tabs>
        <w:tab w:val="left" w:pos="-1440"/>
      </w:tabs>
      <w:spacing w:line="480" w:lineRule="auto"/>
      <w:jc w:val="center"/>
      <w:outlineLvl w:val="6"/>
    </w:pPr>
    <w:rPr>
      <w:b/>
      <w:snapToGrid w:val="0"/>
      <w:sz w:val="24"/>
      <w:lang w:val="en-US"/>
    </w:rPr>
  </w:style>
  <w:style w:type="paragraph" w:styleId="Balk8">
    <w:name w:val="heading 8"/>
    <w:basedOn w:val="Normal"/>
    <w:next w:val="Normal"/>
    <w:link w:val="Balk8Char"/>
    <w:qFormat/>
    <w:rsid w:val="009D7620"/>
    <w:pPr>
      <w:widowControl w:val="0"/>
      <w:numPr>
        <w:ilvl w:val="7"/>
        <w:numId w:val="1"/>
      </w:numPr>
      <w:spacing w:before="240" w:after="60"/>
      <w:outlineLvl w:val="7"/>
    </w:pPr>
    <w:rPr>
      <w:rFonts w:ascii="Arial" w:hAnsi="Arial"/>
      <w:i/>
      <w:snapToGrid w:val="0"/>
      <w:lang w:val="en-US"/>
    </w:rPr>
  </w:style>
  <w:style w:type="paragraph" w:styleId="Balk9">
    <w:name w:val="heading 9"/>
    <w:basedOn w:val="Normal"/>
    <w:next w:val="Normal"/>
    <w:link w:val="Balk9Char"/>
    <w:qFormat/>
    <w:rsid w:val="009D7620"/>
    <w:pPr>
      <w:widowControl w:val="0"/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napToGrid w:val="0"/>
      <w:sz w:val="1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  <w:unhideWhenUsed/>
  </w:style>
  <w:style w:type="character" w:customStyle="1" w:styleId="Balk1Char">
    <w:name w:val="Başlık 1 Char"/>
    <w:basedOn w:val="VarsaylanParagrafYazTipi"/>
    <w:link w:val="Balk1"/>
    <w:rsid w:val="009D7620"/>
    <w:rPr>
      <w:rFonts w:ascii="Times New Roman" w:eastAsia="Times New Roman" w:hAnsi="Times New Roman" w:cs="Times New Roman"/>
      <w:b/>
      <w:snapToGrid w:val="0"/>
      <w:kern w:val="28"/>
      <w:sz w:val="24"/>
      <w:szCs w:val="20"/>
      <w:lang w:val="en-US" w:eastAsia="de-DE"/>
    </w:rPr>
  </w:style>
  <w:style w:type="character" w:customStyle="1" w:styleId="Balk2Char">
    <w:name w:val="Başlık 2 Char"/>
    <w:basedOn w:val="VarsaylanParagrafYazTipi"/>
    <w:link w:val="Balk2"/>
    <w:rsid w:val="009D7620"/>
    <w:rPr>
      <w:rFonts w:ascii="Times New Roman" w:eastAsia="Times New Roman" w:hAnsi="Times New Roman" w:cs="Times New Roman"/>
      <w:b/>
      <w:i/>
      <w:snapToGrid w:val="0"/>
      <w:szCs w:val="20"/>
      <w:lang w:val="en-US" w:eastAsia="de-DE"/>
    </w:rPr>
  </w:style>
  <w:style w:type="character" w:customStyle="1" w:styleId="Balk3Char">
    <w:name w:val="Başlık 3 Char"/>
    <w:basedOn w:val="VarsaylanParagrafYazTipi"/>
    <w:link w:val="Balk3"/>
    <w:rsid w:val="009D7620"/>
    <w:rPr>
      <w:rFonts w:ascii="Times New Roman" w:eastAsia="Times New Roman" w:hAnsi="Times New Roman" w:cs="Times New Roman"/>
      <w:b/>
      <w:snapToGrid w:val="0"/>
      <w:sz w:val="20"/>
      <w:szCs w:val="20"/>
      <w:lang w:val="en-US" w:eastAsia="de-DE"/>
    </w:rPr>
  </w:style>
  <w:style w:type="character" w:customStyle="1" w:styleId="Balk4Char">
    <w:name w:val="Başlık 4 Char"/>
    <w:basedOn w:val="VarsaylanParagrafYazTipi"/>
    <w:link w:val="Balk4"/>
    <w:rsid w:val="009D7620"/>
    <w:rPr>
      <w:rFonts w:ascii="Times New Roman" w:eastAsia="Times New Roman" w:hAnsi="Times New Roman" w:cs="Times New Roman"/>
      <w:b/>
      <w:snapToGrid w:val="0"/>
      <w:szCs w:val="20"/>
      <w:lang w:val="en-US" w:eastAsia="de-DE"/>
    </w:rPr>
  </w:style>
  <w:style w:type="character" w:customStyle="1" w:styleId="Balk5Char">
    <w:name w:val="Başlık 5 Char"/>
    <w:basedOn w:val="VarsaylanParagrafYazTipi"/>
    <w:link w:val="Balk5"/>
    <w:rsid w:val="009D7620"/>
    <w:rPr>
      <w:rFonts w:ascii="Times New Roman" w:eastAsia="Times New Roman" w:hAnsi="Times New Roman" w:cs="Times New Roman"/>
      <w:b/>
      <w:snapToGrid w:val="0"/>
      <w:szCs w:val="20"/>
      <w:lang w:val="en-US" w:eastAsia="de-DE"/>
    </w:rPr>
  </w:style>
  <w:style w:type="character" w:customStyle="1" w:styleId="Balk6Char">
    <w:name w:val="Başlık 6 Char"/>
    <w:basedOn w:val="VarsaylanParagrafYazTipi"/>
    <w:link w:val="Balk6"/>
    <w:rsid w:val="009D7620"/>
    <w:rPr>
      <w:rFonts w:ascii="Times New Roman" w:eastAsia="Times New Roman" w:hAnsi="Times New Roman" w:cs="Times New Roman"/>
      <w:b/>
      <w:snapToGrid w:val="0"/>
      <w:sz w:val="24"/>
      <w:szCs w:val="20"/>
      <w:lang w:val="en-US" w:eastAsia="de-DE"/>
    </w:rPr>
  </w:style>
  <w:style w:type="character" w:customStyle="1" w:styleId="Balk7Char">
    <w:name w:val="Başlık 7 Char"/>
    <w:basedOn w:val="VarsaylanParagrafYazTipi"/>
    <w:link w:val="Balk7"/>
    <w:rsid w:val="009D7620"/>
    <w:rPr>
      <w:rFonts w:ascii="Times New Roman" w:eastAsia="Times New Roman" w:hAnsi="Times New Roman" w:cs="Times New Roman"/>
      <w:b/>
      <w:snapToGrid w:val="0"/>
      <w:sz w:val="24"/>
      <w:szCs w:val="20"/>
      <w:lang w:val="en-US" w:eastAsia="de-DE"/>
    </w:rPr>
  </w:style>
  <w:style w:type="character" w:customStyle="1" w:styleId="Balk8Char">
    <w:name w:val="Başlık 8 Char"/>
    <w:basedOn w:val="VarsaylanParagrafYazTipi"/>
    <w:link w:val="Balk8"/>
    <w:rsid w:val="009D7620"/>
    <w:rPr>
      <w:rFonts w:ascii="Arial" w:eastAsia="Times New Roman" w:hAnsi="Arial" w:cs="Times New Roman"/>
      <w:i/>
      <w:snapToGrid w:val="0"/>
      <w:sz w:val="20"/>
      <w:szCs w:val="20"/>
      <w:lang w:val="en-US" w:eastAsia="de-DE"/>
    </w:rPr>
  </w:style>
  <w:style w:type="character" w:customStyle="1" w:styleId="Balk9Char">
    <w:name w:val="Başlık 9 Char"/>
    <w:basedOn w:val="VarsaylanParagrafYazTipi"/>
    <w:link w:val="Balk9"/>
    <w:rsid w:val="009D7620"/>
    <w:rPr>
      <w:rFonts w:ascii="Arial" w:eastAsia="Times New Roman" w:hAnsi="Arial" w:cs="Times New Roman"/>
      <w:b/>
      <w:i/>
      <w:snapToGrid w:val="0"/>
      <w:sz w:val="18"/>
      <w:szCs w:val="20"/>
      <w:lang w:val="en-US" w:eastAsia="de-DE"/>
    </w:rPr>
  </w:style>
  <w:style w:type="paragraph" w:styleId="GvdeMetniGirintisi2">
    <w:name w:val="Body Text Indent 2"/>
    <w:basedOn w:val="Normal"/>
    <w:link w:val="GvdeMetniGirintisi2Char"/>
    <w:rsid w:val="009D7620"/>
    <w:pPr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60"/>
    </w:pPr>
    <w:rPr>
      <w:snapToGrid w:val="0"/>
      <w:sz w:val="32"/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D7620"/>
    <w:rPr>
      <w:rFonts w:ascii="Times New Roman" w:eastAsia="Times New Roman" w:hAnsi="Times New Roman" w:cs="Times New Roman"/>
      <w:snapToGrid w:val="0"/>
      <w:sz w:val="32"/>
      <w:szCs w:val="20"/>
      <w:lang w:val="en-US" w:eastAsia="de-DE"/>
    </w:rPr>
  </w:style>
  <w:style w:type="paragraph" w:styleId="GvdeMetniGirintisi">
    <w:name w:val="Body Text Indent"/>
    <w:aliases w:val="Textkörper-Einzug"/>
    <w:basedOn w:val="Normal"/>
    <w:link w:val="GvdeMetniGirintisiChar"/>
    <w:rsid w:val="009D7620"/>
    <w:pPr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360"/>
    </w:pPr>
    <w:rPr>
      <w:snapToGrid w:val="0"/>
      <w:sz w:val="24"/>
      <w:lang w:val="en-US"/>
    </w:rPr>
  </w:style>
  <w:style w:type="character" w:customStyle="1" w:styleId="GvdeMetniGirintisiChar">
    <w:name w:val="Gövde Metni Girintisi Char"/>
    <w:aliases w:val="Textkörper-Einzug Char"/>
    <w:basedOn w:val="VarsaylanParagrafYazTipi"/>
    <w:link w:val="GvdeMetniGirintisi"/>
    <w:rsid w:val="009D7620"/>
    <w:rPr>
      <w:rFonts w:ascii="Times New Roman" w:eastAsia="Times New Roman" w:hAnsi="Times New Roman" w:cs="Times New Roman"/>
      <w:snapToGrid w:val="0"/>
      <w:sz w:val="24"/>
      <w:szCs w:val="20"/>
      <w:lang w:val="en-US" w:eastAsia="de-DE"/>
    </w:rPr>
  </w:style>
  <w:style w:type="paragraph" w:styleId="GvdeMetniGirintisi3">
    <w:name w:val="Body Text Indent 3"/>
    <w:basedOn w:val="Normal"/>
    <w:link w:val="GvdeMetniGirintisi3Char"/>
    <w:rsid w:val="009D7620"/>
    <w:pPr>
      <w:tabs>
        <w:tab w:val="left" w:pos="-1080"/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pacing w:before="200"/>
      <w:ind w:left="360"/>
    </w:pPr>
    <w:rPr>
      <w:snapToGrid w:val="0"/>
      <w:sz w:val="22"/>
      <w:lang w:val="en-US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9D7620"/>
    <w:rPr>
      <w:rFonts w:ascii="Times New Roman" w:eastAsia="Times New Roman" w:hAnsi="Times New Roman" w:cs="Times New Roman"/>
      <w:snapToGrid w:val="0"/>
      <w:szCs w:val="20"/>
      <w:lang w:val="en-US" w:eastAsia="de-DE"/>
    </w:rPr>
  </w:style>
  <w:style w:type="paragraph" w:styleId="T1">
    <w:name w:val="toc 1"/>
    <w:basedOn w:val="Normal"/>
    <w:next w:val="Normal"/>
    <w:autoRedefine/>
    <w:semiHidden/>
    <w:rsid w:val="009D7620"/>
    <w:pPr>
      <w:tabs>
        <w:tab w:val="left" w:pos="400"/>
        <w:tab w:val="right" w:leader="dot" w:pos="9039"/>
      </w:tabs>
      <w:spacing w:before="240"/>
    </w:pPr>
    <w:rPr>
      <w:b/>
      <w:noProof/>
      <w:sz w:val="24"/>
    </w:rPr>
  </w:style>
  <w:style w:type="paragraph" w:styleId="T2">
    <w:name w:val="toc 2"/>
    <w:basedOn w:val="Normal"/>
    <w:next w:val="Normal"/>
    <w:autoRedefine/>
    <w:semiHidden/>
    <w:rsid w:val="009D7620"/>
    <w:pPr>
      <w:tabs>
        <w:tab w:val="left" w:pos="800"/>
        <w:tab w:val="right" w:leader="dot" w:pos="9039"/>
      </w:tabs>
      <w:ind w:left="200"/>
    </w:pPr>
    <w:rPr>
      <w:i/>
      <w:noProof/>
      <w:sz w:val="22"/>
      <w:lang w:val="en-GB"/>
    </w:rPr>
  </w:style>
  <w:style w:type="paragraph" w:styleId="T3">
    <w:name w:val="toc 3"/>
    <w:basedOn w:val="Normal"/>
    <w:next w:val="Normal"/>
    <w:autoRedefine/>
    <w:semiHidden/>
    <w:rsid w:val="009D7620"/>
    <w:pPr>
      <w:ind w:left="400"/>
    </w:pPr>
  </w:style>
  <w:style w:type="paragraph" w:styleId="ekillerTablosu">
    <w:name w:val="table of figures"/>
    <w:basedOn w:val="Normal"/>
    <w:next w:val="Normal"/>
    <w:semiHidden/>
    <w:rsid w:val="009D7620"/>
    <w:pPr>
      <w:widowControl w:val="0"/>
      <w:ind w:left="480" w:hanging="480"/>
    </w:pPr>
    <w:rPr>
      <w:snapToGrid w:val="0"/>
      <w:sz w:val="24"/>
      <w:lang w:val="en-US"/>
    </w:rPr>
  </w:style>
  <w:style w:type="character" w:styleId="DipnotBavurusu">
    <w:name w:val="footnote reference"/>
    <w:semiHidden/>
    <w:rsid w:val="009D7620"/>
    <w:rPr>
      <w:rFonts w:ascii="Times New Roman" w:hAnsi="Times New Roman"/>
      <w:dstrike w:val="0"/>
      <w:color w:val="auto"/>
      <w:sz w:val="24"/>
      <w:vertAlign w:val="superscript"/>
    </w:rPr>
  </w:style>
  <w:style w:type="paragraph" w:styleId="GvdeMetni2">
    <w:name w:val="Body Text 2"/>
    <w:basedOn w:val="Normal"/>
    <w:link w:val="GvdeMetni2Char"/>
    <w:rsid w:val="009D7620"/>
    <w:pPr>
      <w:tabs>
        <w:tab w:val="left" w:pos="0"/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</w:pPr>
    <w:rPr>
      <w:snapToGrid w:val="0"/>
      <w:sz w:val="24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9D7620"/>
    <w:rPr>
      <w:rFonts w:ascii="Times New Roman" w:eastAsia="Times New Roman" w:hAnsi="Times New Roman" w:cs="Times New Roman"/>
      <w:snapToGrid w:val="0"/>
      <w:sz w:val="24"/>
      <w:szCs w:val="20"/>
      <w:lang w:val="en-US" w:eastAsia="de-DE"/>
    </w:rPr>
  </w:style>
  <w:style w:type="paragraph" w:styleId="ResimYazs">
    <w:name w:val="caption"/>
    <w:basedOn w:val="Normal"/>
    <w:next w:val="Normal"/>
    <w:qFormat/>
    <w:rsid w:val="009D7620"/>
    <w:pPr>
      <w:widowControl w:val="0"/>
    </w:pPr>
    <w:rPr>
      <w:b/>
      <w:snapToGrid w:val="0"/>
      <w:sz w:val="24"/>
      <w:lang w:val="en-US"/>
    </w:rPr>
  </w:style>
  <w:style w:type="paragraph" w:customStyle="1" w:styleId="Heading11">
    <w:name w:val="Heading 11"/>
    <w:basedOn w:val="Normal"/>
    <w:rsid w:val="009D7620"/>
    <w:pPr>
      <w:widowControl w:val="0"/>
      <w:tabs>
        <w:tab w:val="center" w:pos="4500"/>
      </w:tabs>
    </w:pPr>
    <w:rPr>
      <w:b/>
      <w:smallCaps/>
      <w:snapToGrid w:val="0"/>
      <w:sz w:val="24"/>
      <w:lang w:val="en-US"/>
    </w:rPr>
  </w:style>
  <w:style w:type="paragraph" w:customStyle="1" w:styleId="Tabellenbeschriftung">
    <w:name w:val="Tabellenbeschriftung"/>
    <w:basedOn w:val="Normal"/>
    <w:next w:val="Normal"/>
    <w:rsid w:val="009D7620"/>
    <w:pPr>
      <w:keepLines/>
      <w:widowControl w:val="0"/>
      <w:jc w:val="center"/>
    </w:pPr>
    <w:rPr>
      <w:b/>
      <w:snapToGrid w:val="0"/>
      <w:sz w:val="24"/>
      <w:lang w:val="en-US"/>
    </w:rPr>
  </w:style>
  <w:style w:type="paragraph" w:styleId="stbilgi">
    <w:name w:val="header"/>
    <w:basedOn w:val="Normal"/>
    <w:link w:val="stbilgiChar"/>
    <w:rsid w:val="009D7620"/>
    <w:pPr>
      <w:widowControl w:val="0"/>
      <w:tabs>
        <w:tab w:val="center" w:pos="4536"/>
        <w:tab w:val="right" w:pos="9072"/>
      </w:tabs>
    </w:pPr>
    <w:rPr>
      <w:snapToGrid w:val="0"/>
      <w:sz w:val="24"/>
      <w:lang w:val="en-US"/>
    </w:rPr>
  </w:style>
  <w:style w:type="character" w:customStyle="1" w:styleId="stbilgiChar">
    <w:name w:val="Üstbilgi Char"/>
    <w:basedOn w:val="VarsaylanParagrafYazTipi"/>
    <w:link w:val="stbilgi"/>
    <w:rsid w:val="009D7620"/>
    <w:rPr>
      <w:rFonts w:ascii="Times New Roman" w:eastAsia="Times New Roman" w:hAnsi="Times New Roman" w:cs="Times New Roman"/>
      <w:snapToGrid w:val="0"/>
      <w:sz w:val="24"/>
      <w:szCs w:val="20"/>
      <w:lang w:val="en-US" w:eastAsia="de-DE"/>
    </w:rPr>
  </w:style>
  <w:style w:type="paragraph" w:styleId="DipnotMetni">
    <w:name w:val="footnote text"/>
    <w:basedOn w:val="Normal"/>
    <w:link w:val="DipnotMetniChar"/>
    <w:semiHidden/>
    <w:rsid w:val="009D7620"/>
    <w:pPr>
      <w:widowControl w:val="0"/>
    </w:pPr>
    <w:rPr>
      <w:snapToGrid w:val="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9D7620"/>
    <w:rPr>
      <w:rFonts w:ascii="Times New Roman" w:eastAsia="Times New Roman" w:hAnsi="Times New Roman" w:cs="Times New Roman"/>
      <w:snapToGrid w:val="0"/>
      <w:sz w:val="20"/>
      <w:szCs w:val="20"/>
      <w:lang w:val="en-US" w:eastAsia="de-DE"/>
    </w:rPr>
  </w:style>
  <w:style w:type="paragraph" w:customStyle="1" w:styleId="Tabelle">
    <w:name w:val="Tabelle"/>
    <w:basedOn w:val="Normal"/>
    <w:rsid w:val="009D7620"/>
    <w:pPr>
      <w:keepNext/>
      <w:keepLines/>
      <w:spacing w:before="20" w:after="20"/>
    </w:pPr>
    <w:rPr>
      <w:sz w:val="18"/>
    </w:rPr>
  </w:style>
  <w:style w:type="character" w:styleId="SayfaNumaras">
    <w:name w:val="page number"/>
    <w:basedOn w:val="VarsaylanParagrafYazTipi"/>
    <w:rsid w:val="009D7620"/>
  </w:style>
  <w:style w:type="paragraph" w:styleId="Altbilgi">
    <w:name w:val="footer"/>
    <w:basedOn w:val="Normal"/>
    <w:link w:val="AltbilgiChar"/>
    <w:rsid w:val="009D7620"/>
    <w:pPr>
      <w:widowControl w:val="0"/>
      <w:tabs>
        <w:tab w:val="center" w:pos="4536"/>
        <w:tab w:val="right" w:pos="9072"/>
      </w:tabs>
    </w:pPr>
    <w:rPr>
      <w:snapToGrid w:val="0"/>
      <w:sz w:val="24"/>
      <w:lang w:val="en-US"/>
    </w:rPr>
  </w:style>
  <w:style w:type="character" w:customStyle="1" w:styleId="AltbilgiChar">
    <w:name w:val="Altbilgi Char"/>
    <w:basedOn w:val="VarsaylanParagrafYazTipi"/>
    <w:link w:val="Altbilgi"/>
    <w:rsid w:val="009D7620"/>
    <w:rPr>
      <w:rFonts w:ascii="Times New Roman" w:eastAsia="Times New Roman" w:hAnsi="Times New Roman" w:cs="Times New Roman"/>
      <w:snapToGrid w:val="0"/>
      <w:sz w:val="24"/>
      <w:szCs w:val="20"/>
      <w:lang w:val="en-US" w:eastAsia="de-DE"/>
    </w:rPr>
  </w:style>
  <w:style w:type="paragraph" w:styleId="T4">
    <w:name w:val="toc 4"/>
    <w:basedOn w:val="Normal"/>
    <w:next w:val="Normal"/>
    <w:autoRedefine/>
    <w:semiHidden/>
    <w:rsid w:val="009D7620"/>
    <w:pPr>
      <w:ind w:left="600"/>
    </w:pPr>
  </w:style>
  <w:style w:type="paragraph" w:styleId="T5">
    <w:name w:val="toc 5"/>
    <w:basedOn w:val="Normal"/>
    <w:next w:val="Normal"/>
    <w:autoRedefine/>
    <w:semiHidden/>
    <w:rsid w:val="009D7620"/>
    <w:pPr>
      <w:ind w:left="800"/>
    </w:pPr>
  </w:style>
  <w:style w:type="paragraph" w:styleId="T6">
    <w:name w:val="toc 6"/>
    <w:basedOn w:val="Normal"/>
    <w:next w:val="Normal"/>
    <w:autoRedefine/>
    <w:semiHidden/>
    <w:rsid w:val="009D7620"/>
    <w:pPr>
      <w:ind w:left="1000"/>
    </w:pPr>
  </w:style>
  <w:style w:type="paragraph" w:styleId="T7">
    <w:name w:val="toc 7"/>
    <w:basedOn w:val="Normal"/>
    <w:next w:val="Normal"/>
    <w:autoRedefine/>
    <w:semiHidden/>
    <w:rsid w:val="009D7620"/>
    <w:pPr>
      <w:ind w:left="1200"/>
    </w:pPr>
  </w:style>
  <w:style w:type="paragraph" w:styleId="T8">
    <w:name w:val="toc 8"/>
    <w:basedOn w:val="Normal"/>
    <w:next w:val="Normal"/>
    <w:autoRedefine/>
    <w:semiHidden/>
    <w:rsid w:val="009D7620"/>
    <w:pPr>
      <w:ind w:left="1400"/>
    </w:pPr>
  </w:style>
  <w:style w:type="paragraph" w:styleId="T9">
    <w:name w:val="toc 9"/>
    <w:basedOn w:val="Normal"/>
    <w:next w:val="Normal"/>
    <w:autoRedefine/>
    <w:semiHidden/>
    <w:rsid w:val="009D7620"/>
    <w:pPr>
      <w:ind w:left="1600"/>
    </w:pPr>
  </w:style>
  <w:style w:type="paragraph" w:styleId="SonnotMetni">
    <w:name w:val="endnote text"/>
    <w:basedOn w:val="Normal"/>
    <w:link w:val="SonnotMetniChar"/>
    <w:semiHidden/>
    <w:rsid w:val="009D7620"/>
  </w:style>
  <w:style w:type="character" w:customStyle="1" w:styleId="SonnotMetniChar">
    <w:name w:val="Sonnot Metni Char"/>
    <w:basedOn w:val="VarsaylanParagrafYazTipi"/>
    <w:link w:val="SonnotMetni"/>
    <w:semiHidden/>
    <w:rsid w:val="009D762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SonnotBavurusu">
    <w:name w:val="endnote reference"/>
    <w:semiHidden/>
    <w:rsid w:val="009D7620"/>
    <w:rPr>
      <w:vertAlign w:val="superscript"/>
    </w:rPr>
  </w:style>
  <w:style w:type="character" w:styleId="Kpr">
    <w:name w:val="Hyperlink"/>
    <w:rsid w:val="009D7620"/>
    <w:rPr>
      <w:color w:val="0000FF"/>
      <w:u w:val="single"/>
    </w:rPr>
  </w:style>
  <w:style w:type="paragraph" w:customStyle="1" w:styleId="Standardnormal1">
    <w:name w:val="Standard.normal1"/>
    <w:rsid w:val="009D7620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BalonMetni">
    <w:name w:val="Balloon Text"/>
    <w:basedOn w:val="Normal"/>
    <w:link w:val="BalonMetniChar"/>
    <w:semiHidden/>
    <w:rsid w:val="009D762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D7620"/>
    <w:rPr>
      <w:rFonts w:ascii="Tahoma" w:eastAsia="Times New Roman" w:hAnsi="Tahoma" w:cs="Tahoma"/>
      <w:sz w:val="16"/>
      <w:szCs w:val="16"/>
      <w:lang w:val="de-DE" w:eastAsia="de-DE"/>
    </w:rPr>
  </w:style>
  <w:style w:type="table" w:customStyle="1" w:styleId="Outreg3-DigitStandard">
    <w:name w:val="Outreg 3-Digit Standard"/>
    <w:basedOn w:val="NormalTablo"/>
    <w:rsid w:val="009D7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tabs>
          <w:tab w:val="decimal" w:pos="851"/>
        </w:tabs>
      </w:p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tabs>
          <w:tab w:val="left" w:pos="0"/>
        </w:tabs>
      </w:pPr>
      <w:rPr>
        <w:rFonts w:ascii="Times New Roman" w:hAnsi="Times New Roman"/>
        <w:sz w:val="24"/>
      </w:rPr>
      <w:tblPr/>
      <w:tcPr>
        <w:tcBorders>
          <w:right w:val="nil"/>
        </w:tcBorders>
      </w:tcPr>
    </w:tblStylePr>
    <w:tblStylePr w:type="band1Horz">
      <w:pPr>
        <w:tabs>
          <w:tab w:val="decimal" w:pos="851"/>
        </w:tabs>
      </w:pPr>
      <w:rPr>
        <w:rFonts w:ascii="Times New Roman" w:hAnsi="Times New Roman"/>
        <w:sz w:val="24"/>
      </w:rPr>
    </w:tblStylePr>
    <w:tblStylePr w:type="band2Horz">
      <w:pPr>
        <w:tabs>
          <w:tab w:val="decimal" w:pos="851"/>
        </w:tabs>
      </w:pPr>
      <w:rPr>
        <w:rFonts w:ascii="Times New Roman" w:hAnsi="Times New Roman"/>
        <w:sz w:val="16"/>
      </w:rPr>
    </w:tblStylePr>
  </w:style>
  <w:style w:type="paragraph" w:styleId="DzMetin">
    <w:name w:val="Plain Text"/>
    <w:basedOn w:val="Normal"/>
    <w:link w:val="DzMetinChar"/>
    <w:rsid w:val="009D7620"/>
    <w:rPr>
      <w:rFonts w:ascii="Courier New" w:hAnsi="Courier New" w:cs="Courier New"/>
    </w:rPr>
  </w:style>
  <w:style w:type="character" w:customStyle="1" w:styleId="DzMetinChar">
    <w:name w:val="Düz Metin Char"/>
    <w:basedOn w:val="VarsaylanParagrafYazTipi"/>
    <w:link w:val="DzMetin"/>
    <w:rsid w:val="009D7620"/>
    <w:rPr>
      <w:rFonts w:ascii="Courier New" w:eastAsia="Times New Roman" w:hAnsi="Courier New" w:cs="Courier New"/>
      <w:sz w:val="20"/>
      <w:szCs w:val="20"/>
      <w:lang w:val="de-DE" w:eastAsia="de-DE"/>
    </w:rPr>
  </w:style>
  <w:style w:type="table" w:styleId="TabloKlavuzu">
    <w:name w:val="Table Grid"/>
    <w:basedOn w:val="NormalTablo"/>
    <w:rsid w:val="009D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2">
    <w:name w:val="Heading 12"/>
    <w:basedOn w:val="Normal"/>
    <w:rsid w:val="009D7620"/>
    <w:pPr>
      <w:widowControl w:val="0"/>
      <w:tabs>
        <w:tab w:val="center" w:pos="4500"/>
      </w:tabs>
    </w:pPr>
    <w:rPr>
      <w:b/>
      <w:smallCaps/>
      <w:snapToGrid w:val="0"/>
      <w:sz w:val="24"/>
      <w:lang w:val="en-US"/>
    </w:rPr>
  </w:style>
  <w:style w:type="paragraph" w:customStyle="1" w:styleId="Fussnote">
    <w:name w:val="Fussnote"/>
    <w:basedOn w:val="DipnotMetni"/>
    <w:rsid w:val="009D7620"/>
    <w:pPr>
      <w:spacing w:before="0" w:after="0" w:line="240" w:lineRule="auto"/>
    </w:pPr>
    <w:rPr>
      <w:snapToGrid/>
      <w:szCs w:val="22"/>
    </w:rPr>
  </w:style>
  <w:style w:type="character" w:customStyle="1" w:styleId="ZchnZchn19">
    <w:name w:val=" Zchn Zchn19"/>
    <w:rsid w:val="009D7620"/>
    <w:rPr>
      <w:rFonts w:ascii="Arial" w:hAnsi="Arial"/>
      <w:b/>
      <w:snapToGrid w:val="0"/>
      <w:kern w:val="28"/>
      <w:sz w:val="28"/>
      <w:lang w:val="en-US" w:eastAsia="de-DE" w:bidi="ar-SA"/>
    </w:rPr>
  </w:style>
  <w:style w:type="character" w:customStyle="1" w:styleId="ZchnZchn18">
    <w:name w:val=" Zchn Zchn18"/>
    <w:rsid w:val="009D7620"/>
    <w:rPr>
      <w:rFonts w:ascii="Arial" w:hAnsi="Arial"/>
      <w:b/>
      <w:i/>
      <w:snapToGrid w:val="0"/>
      <w:sz w:val="24"/>
      <w:lang w:val="en-US" w:eastAsia="de-DE" w:bidi="ar-SA"/>
    </w:rPr>
  </w:style>
  <w:style w:type="character" w:styleId="AklamaBavurusu">
    <w:name w:val="annotation reference"/>
    <w:rsid w:val="009D7620"/>
    <w:rPr>
      <w:sz w:val="18"/>
      <w:szCs w:val="18"/>
    </w:rPr>
  </w:style>
  <w:style w:type="paragraph" w:styleId="AklamaMetni">
    <w:name w:val="annotation text"/>
    <w:basedOn w:val="Normal"/>
    <w:link w:val="AklamaMetniChar"/>
    <w:rsid w:val="009D7620"/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rsid w:val="009D7620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AklamaKonusu">
    <w:name w:val="annotation subject"/>
    <w:basedOn w:val="AklamaMetni"/>
    <w:next w:val="AklamaMetni"/>
    <w:link w:val="AklamaKonusuChar"/>
    <w:rsid w:val="009D7620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rsid w:val="009D7620"/>
    <w:rPr>
      <w:b/>
      <w:bCs/>
      <w:sz w:val="20"/>
      <w:szCs w:val="20"/>
    </w:rPr>
  </w:style>
  <w:style w:type="paragraph" w:customStyle="1" w:styleId="Formatvorlageberschrift2BlockNach12PtZeilenabstand15Zei">
    <w:name w:val="Formatvorlage Überschrift 2 + Block Nach:  12 Pt. Zeilenabstand:  15 Zei..."/>
    <w:basedOn w:val="Balk2"/>
    <w:rsid w:val="009D7620"/>
    <w:pPr>
      <w:widowControl/>
      <w:tabs>
        <w:tab w:val="clear" w:pos="576"/>
        <w:tab w:val="num" w:pos="717"/>
        <w:tab w:val="right" w:pos="9072"/>
      </w:tabs>
      <w:spacing w:after="240"/>
      <w:ind w:left="717"/>
    </w:pPr>
    <w:rPr>
      <w:bCs/>
      <w:i w:val="0"/>
      <w:snapToGrid/>
      <w:sz w:val="28"/>
      <w:lang w:val="de-DE"/>
    </w:rPr>
  </w:style>
  <w:style w:type="paragraph" w:styleId="Dzeltme">
    <w:name w:val="Revision"/>
    <w:hidden/>
    <w:uiPriority w:val="99"/>
    <w:semiHidden/>
    <w:rsid w:val="009D7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_al__ma_Sayfas_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/>
      <c:barChart>
        <c:barDir val="col"/>
        <c:grouping val="clustered"/>
        <c:ser>
          <c:idx val="1"/>
          <c:order val="0"/>
          <c:tx>
            <c:strRef>
              <c:f>Tabelle1!$I$2</c:f>
              <c:strCache>
                <c:ptCount val="1"/>
                <c:pt idx="0">
                  <c:v>Tax (and soc. sec. contr.)  loss due to the shadow economy in % of GDP</c:v>
                </c:pt>
              </c:strCache>
            </c:strRef>
          </c:tx>
          <c:dLbls>
            <c:dLbl>
              <c:idx val="12"/>
              <c:layout>
                <c:manualLayout>
                  <c:x val="4.4150110375275921E-3"/>
                  <c:y val="1.167031363967907E-2"/>
                </c:manualLayout>
              </c:layout>
              <c:dLblPos val="outEnd"/>
              <c:showVal val="1"/>
            </c:dLbl>
            <c:numFmt formatCode="0.0%" sourceLinked="0"/>
            <c:txPr>
              <a:bodyPr/>
              <a:lstStyle/>
              <a:p>
                <a:pPr>
                  <a:defRPr sz="1203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tr-TR"/>
              </a:p>
            </c:txPr>
            <c:dLblPos val="outEnd"/>
            <c:showVal val="1"/>
          </c:dLbls>
          <c:cat>
            <c:strRef>
              <c:f>Tabelle1!$A$3:$A$33</c:f>
              <c:strCache>
                <c:ptCount val="31"/>
                <c:pt idx="0">
                  <c:v>Austria</c:v>
                </c:pt>
                <c:pt idx="1">
                  <c:v>Belgium</c:v>
                </c:pt>
                <c:pt idx="2">
                  <c:v>Bulgaria</c:v>
                </c:pt>
                <c:pt idx="3">
                  <c:v>Croatia</c:v>
                </c:pt>
                <c:pt idx="4">
                  <c:v>Cyprus</c:v>
                </c:pt>
                <c:pt idx="5">
                  <c:v>Czech Republic</c:v>
                </c:pt>
                <c:pt idx="6">
                  <c:v>Denmark</c:v>
                </c:pt>
                <c:pt idx="7">
                  <c:v>Estonia</c:v>
                </c:pt>
                <c:pt idx="8">
                  <c:v>Finland</c:v>
                </c:pt>
                <c:pt idx="9">
                  <c:v>France</c:v>
                </c:pt>
                <c:pt idx="10">
                  <c:v>Germany</c:v>
                </c:pt>
                <c:pt idx="11">
                  <c:v>Greece</c:v>
                </c:pt>
                <c:pt idx="12">
                  <c:v>Hungary</c:v>
                </c:pt>
                <c:pt idx="13">
                  <c:v>Ireland</c:v>
                </c:pt>
                <c:pt idx="14">
                  <c:v>Italy</c:v>
                </c:pt>
                <c:pt idx="15">
                  <c:v>Latvia</c:v>
                </c:pt>
                <c:pt idx="16">
                  <c:v>Lithuania</c:v>
                </c:pt>
                <c:pt idx="17">
                  <c:v>Luxembourg</c:v>
                </c:pt>
                <c:pt idx="18">
                  <c:v>Malta</c:v>
                </c:pt>
                <c:pt idx="19">
                  <c:v>Netherlands</c:v>
                </c:pt>
                <c:pt idx="20">
                  <c:v>Poland</c:v>
                </c:pt>
                <c:pt idx="21">
                  <c:v>Portugal</c:v>
                </c:pt>
                <c:pt idx="22">
                  <c:v>Romania</c:v>
                </c:pt>
                <c:pt idx="23">
                  <c:v>Slovenia</c:v>
                </c:pt>
                <c:pt idx="24">
                  <c:v>Spain</c:v>
                </c:pt>
                <c:pt idx="25">
                  <c:v>Slovakia</c:v>
                </c:pt>
                <c:pt idx="26">
                  <c:v>Sweden </c:v>
                </c:pt>
                <c:pt idx="27">
                  <c:v>United Kingdom</c:v>
                </c:pt>
                <c:pt idx="28">
                  <c:v>Norway</c:v>
                </c:pt>
                <c:pt idx="29">
                  <c:v>Switzerland</c:v>
                </c:pt>
                <c:pt idx="30">
                  <c:v>Turkey</c:v>
                </c:pt>
              </c:strCache>
            </c:strRef>
          </c:cat>
          <c:val>
            <c:numRef>
              <c:f>Tabelle1!$I$3:$I$33</c:f>
              <c:numCache>
                <c:formatCode>0.0%</c:formatCode>
                <c:ptCount val="31"/>
                <c:pt idx="0">
                  <c:v>2.0000000000000007E-2</c:v>
                </c:pt>
                <c:pt idx="1">
                  <c:v>4.7000000000000014E-2</c:v>
                </c:pt>
                <c:pt idx="2">
                  <c:v>5.3000000000000012E-2</c:v>
                </c:pt>
                <c:pt idx="3">
                  <c:v>6.3E-2</c:v>
                </c:pt>
                <c:pt idx="4">
                  <c:v>4.8000000000000001E-2</c:v>
                </c:pt>
                <c:pt idx="5">
                  <c:v>3.3000000000000002E-2</c:v>
                </c:pt>
                <c:pt idx="6">
                  <c:v>3.7999999999999999E-2</c:v>
                </c:pt>
                <c:pt idx="7">
                  <c:v>5.3000000000000012E-2</c:v>
                </c:pt>
                <c:pt idx="8">
                  <c:v>3.4000000000000002E-2</c:v>
                </c:pt>
                <c:pt idx="9">
                  <c:v>2.8000000000000001E-2</c:v>
                </c:pt>
                <c:pt idx="10">
                  <c:v>3.100000000000001E-2</c:v>
                </c:pt>
                <c:pt idx="11">
                  <c:v>5.3000000000000012E-2</c:v>
                </c:pt>
                <c:pt idx="12">
                  <c:v>5.1000000000000004E-2</c:v>
                </c:pt>
                <c:pt idx="13">
                  <c:v>2.1999999999999999E-2</c:v>
                </c:pt>
                <c:pt idx="14">
                  <c:v>5.5000000000000014E-2</c:v>
                </c:pt>
                <c:pt idx="15">
                  <c:v>4.3000000000000003E-2</c:v>
                </c:pt>
                <c:pt idx="16">
                  <c:v>4.5999999999999999E-2</c:v>
                </c:pt>
                <c:pt idx="17">
                  <c:v>2.0000000000000007E-2</c:v>
                </c:pt>
                <c:pt idx="18">
                  <c:v>0.05</c:v>
                </c:pt>
                <c:pt idx="19">
                  <c:v>2.1000000000000008E-2</c:v>
                </c:pt>
                <c:pt idx="20">
                  <c:v>4.7000000000000014E-2</c:v>
                </c:pt>
                <c:pt idx="21">
                  <c:v>4.3000000000000003E-2</c:v>
                </c:pt>
                <c:pt idx="22">
                  <c:v>4.7000000000000014E-2</c:v>
                </c:pt>
                <c:pt idx="23">
                  <c:v>5.1999999999999998E-2</c:v>
                </c:pt>
                <c:pt idx="24">
                  <c:v>3.6999999999999998E-2</c:v>
                </c:pt>
                <c:pt idx="25">
                  <c:v>2.700000000000001E-2</c:v>
                </c:pt>
                <c:pt idx="26">
                  <c:v>3.6999999999999998E-2</c:v>
                </c:pt>
                <c:pt idx="27">
                  <c:v>2.1000000000000008E-2</c:v>
                </c:pt>
                <c:pt idx="28">
                  <c:v>3.3000000000000002E-2</c:v>
                </c:pt>
                <c:pt idx="29">
                  <c:v>1.2E-2</c:v>
                </c:pt>
                <c:pt idx="30">
                  <c:v>4.7000000000000014E-2</c:v>
                </c:pt>
              </c:numCache>
            </c:numRef>
          </c:val>
        </c:ser>
        <c:axId val="150736256"/>
        <c:axId val="106583168"/>
      </c:barChart>
      <c:catAx>
        <c:axId val="1507362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3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tr-TR"/>
          </a:p>
        </c:txPr>
        <c:crossAx val="106583168"/>
        <c:crosses val="autoZero"/>
        <c:auto val="1"/>
        <c:lblAlgn val="ctr"/>
        <c:lblOffset val="100"/>
      </c:catAx>
      <c:valAx>
        <c:axId val="106583168"/>
        <c:scaling>
          <c:orientation val="minMax"/>
        </c:scaling>
        <c:axPos val="l"/>
        <c:majorGridlines/>
        <c:numFmt formatCode="0.0%" sourceLinked="0"/>
        <c:tickLblPos val="nextTo"/>
        <c:txPr>
          <a:bodyPr/>
          <a:lstStyle/>
          <a:p>
            <a:pPr>
              <a:defRPr sz="1203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tr-TR"/>
          </a:p>
        </c:txPr>
        <c:crossAx val="150736256"/>
        <c:crosses val="autoZero"/>
        <c:crossBetween val="between"/>
      </c:valAx>
    </c:plotArea>
    <c:legend>
      <c:legendPos val="b"/>
      <c:txPr>
        <a:bodyPr/>
        <a:lstStyle/>
        <a:p>
          <a:pPr>
            <a:defRPr sz="1203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/>
      <c:barChart>
        <c:barDir val="col"/>
        <c:grouping val="clustered"/>
        <c:ser>
          <c:idx val="1"/>
          <c:order val="0"/>
          <c:tx>
            <c:strRef>
              <c:f>Tabelle1!$I$2</c:f>
              <c:strCache>
                <c:ptCount val="1"/>
                <c:pt idx="0">
                  <c:v>Tax (and soc. sec. contr.)  loss due to the shadow economy in % of GDP</c:v>
                </c:pt>
              </c:strCache>
            </c:strRef>
          </c:tx>
          <c:dLbls>
            <c:dLbl>
              <c:idx val="12"/>
              <c:layout>
                <c:manualLayout>
                  <c:x val="4.4150110375275921E-3"/>
                  <c:y val="1.167031363967907E-2"/>
                </c:manualLayout>
              </c:layout>
              <c:dLblPos val="outEnd"/>
              <c:showVal val="1"/>
            </c:dLbl>
            <c:numFmt formatCode="0.0%" sourceLinked="0"/>
            <c:txPr>
              <a:bodyPr rot="-5400000" vert="horz"/>
              <a:lstStyle/>
              <a:p>
                <a:pPr>
                  <a:defRPr sz="1203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tr-TR"/>
              </a:p>
            </c:txPr>
            <c:dLblPos val="outEnd"/>
            <c:showVal val="1"/>
          </c:dLbls>
          <c:cat>
            <c:strRef>
              <c:f>Tabelle1!$A$3:$A$33</c:f>
              <c:strCache>
                <c:ptCount val="31"/>
                <c:pt idx="0">
                  <c:v>Switzerland</c:v>
                </c:pt>
                <c:pt idx="1">
                  <c:v>Austria</c:v>
                </c:pt>
                <c:pt idx="2">
                  <c:v>Luxembourg</c:v>
                </c:pt>
                <c:pt idx="3">
                  <c:v>Netherlands</c:v>
                </c:pt>
                <c:pt idx="4">
                  <c:v>United Kingdom</c:v>
                </c:pt>
                <c:pt idx="5">
                  <c:v>Ireland</c:v>
                </c:pt>
                <c:pt idx="6">
                  <c:v>Slovakia</c:v>
                </c:pt>
                <c:pt idx="7">
                  <c:v>France</c:v>
                </c:pt>
                <c:pt idx="8">
                  <c:v>Germany</c:v>
                </c:pt>
                <c:pt idx="9">
                  <c:v>Czech Republic</c:v>
                </c:pt>
                <c:pt idx="10">
                  <c:v>Norway</c:v>
                </c:pt>
                <c:pt idx="11">
                  <c:v>Finland</c:v>
                </c:pt>
                <c:pt idx="12">
                  <c:v>Spain</c:v>
                </c:pt>
                <c:pt idx="13">
                  <c:v>Sweden </c:v>
                </c:pt>
                <c:pt idx="14">
                  <c:v>Denmark</c:v>
                </c:pt>
                <c:pt idx="15">
                  <c:v>Latvia</c:v>
                </c:pt>
                <c:pt idx="16">
                  <c:v>Portugal</c:v>
                </c:pt>
                <c:pt idx="17">
                  <c:v>Lithuania</c:v>
                </c:pt>
                <c:pt idx="18">
                  <c:v>Belgium</c:v>
                </c:pt>
                <c:pt idx="19">
                  <c:v>Poland</c:v>
                </c:pt>
                <c:pt idx="20">
                  <c:v>Romania</c:v>
                </c:pt>
                <c:pt idx="21">
                  <c:v>Turkey</c:v>
                </c:pt>
                <c:pt idx="22">
                  <c:v>Cyprus</c:v>
                </c:pt>
                <c:pt idx="23">
                  <c:v>Malta</c:v>
                </c:pt>
                <c:pt idx="24">
                  <c:v>Hungary</c:v>
                </c:pt>
                <c:pt idx="25">
                  <c:v>Slovenia</c:v>
                </c:pt>
                <c:pt idx="26">
                  <c:v>Bulgaria</c:v>
                </c:pt>
                <c:pt idx="27">
                  <c:v>Estonia</c:v>
                </c:pt>
                <c:pt idx="28">
                  <c:v>Greece</c:v>
                </c:pt>
                <c:pt idx="29">
                  <c:v>Italy</c:v>
                </c:pt>
                <c:pt idx="30">
                  <c:v>Croatia</c:v>
                </c:pt>
              </c:strCache>
            </c:strRef>
          </c:cat>
          <c:val>
            <c:numRef>
              <c:f>Tabelle1!$I$3:$I$33</c:f>
              <c:numCache>
                <c:formatCode>0.0%</c:formatCode>
                <c:ptCount val="31"/>
                <c:pt idx="0">
                  <c:v>1.2E-2</c:v>
                </c:pt>
                <c:pt idx="1">
                  <c:v>2.0000000000000007E-2</c:v>
                </c:pt>
                <c:pt idx="2">
                  <c:v>2.0000000000000007E-2</c:v>
                </c:pt>
                <c:pt idx="3">
                  <c:v>2.1000000000000008E-2</c:v>
                </c:pt>
                <c:pt idx="4">
                  <c:v>2.1000000000000008E-2</c:v>
                </c:pt>
                <c:pt idx="5">
                  <c:v>2.1999999999999999E-2</c:v>
                </c:pt>
                <c:pt idx="6">
                  <c:v>2.700000000000001E-2</c:v>
                </c:pt>
                <c:pt idx="7">
                  <c:v>2.8000000000000001E-2</c:v>
                </c:pt>
                <c:pt idx="8">
                  <c:v>3.100000000000001E-2</c:v>
                </c:pt>
                <c:pt idx="9">
                  <c:v>3.3000000000000002E-2</c:v>
                </c:pt>
                <c:pt idx="10">
                  <c:v>3.3000000000000002E-2</c:v>
                </c:pt>
                <c:pt idx="11">
                  <c:v>3.4000000000000002E-2</c:v>
                </c:pt>
                <c:pt idx="12">
                  <c:v>3.6999999999999998E-2</c:v>
                </c:pt>
                <c:pt idx="13">
                  <c:v>3.6999999999999998E-2</c:v>
                </c:pt>
                <c:pt idx="14">
                  <c:v>3.7999999999999999E-2</c:v>
                </c:pt>
                <c:pt idx="15">
                  <c:v>4.3000000000000003E-2</c:v>
                </c:pt>
                <c:pt idx="16">
                  <c:v>4.3000000000000003E-2</c:v>
                </c:pt>
                <c:pt idx="17">
                  <c:v>4.5999999999999999E-2</c:v>
                </c:pt>
                <c:pt idx="18">
                  <c:v>4.7000000000000014E-2</c:v>
                </c:pt>
                <c:pt idx="19">
                  <c:v>4.7000000000000014E-2</c:v>
                </c:pt>
                <c:pt idx="20">
                  <c:v>4.7000000000000014E-2</c:v>
                </c:pt>
                <c:pt idx="21">
                  <c:v>4.7000000000000014E-2</c:v>
                </c:pt>
                <c:pt idx="22">
                  <c:v>4.8000000000000001E-2</c:v>
                </c:pt>
                <c:pt idx="23">
                  <c:v>0.05</c:v>
                </c:pt>
                <c:pt idx="24">
                  <c:v>5.1000000000000004E-2</c:v>
                </c:pt>
                <c:pt idx="25">
                  <c:v>5.1999999999999998E-2</c:v>
                </c:pt>
                <c:pt idx="26">
                  <c:v>5.3000000000000012E-2</c:v>
                </c:pt>
                <c:pt idx="27">
                  <c:v>5.3000000000000012E-2</c:v>
                </c:pt>
                <c:pt idx="28">
                  <c:v>5.3000000000000012E-2</c:v>
                </c:pt>
                <c:pt idx="29">
                  <c:v>5.5000000000000014E-2</c:v>
                </c:pt>
                <c:pt idx="30">
                  <c:v>6.3E-2</c:v>
                </c:pt>
              </c:numCache>
            </c:numRef>
          </c:val>
        </c:ser>
        <c:axId val="150663936"/>
        <c:axId val="150665472"/>
      </c:barChart>
      <c:catAx>
        <c:axId val="15066393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3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tr-TR"/>
          </a:p>
        </c:txPr>
        <c:crossAx val="150665472"/>
        <c:crosses val="autoZero"/>
        <c:auto val="1"/>
        <c:lblAlgn val="ctr"/>
        <c:lblOffset val="100"/>
      </c:catAx>
      <c:valAx>
        <c:axId val="150665472"/>
        <c:scaling>
          <c:orientation val="minMax"/>
        </c:scaling>
        <c:axPos val="l"/>
        <c:majorGridlines/>
        <c:numFmt formatCode="0.0%" sourceLinked="0"/>
        <c:tickLblPos val="nextTo"/>
        <c:txPr>
          <a:bodyPr/>
          <a:lstStyle/>
          <a:p>
            <a:pPr>
              <a:defRPr sz="1203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tr-TR"/>
          </a:p>
        </c:txPr>
        <c:crossAx val="150663936"/>
        <c:crosses val="autoZero"/>
        <c:crossBetween val="between"/>
      </c:valAx>
    </c:plotArea>
    <c:legend>
      <c:legendPos val="b"/>
      <c:txPr>
        <a:bodyPr/>
        <a:lstStyle/>
        <a:p>
          <a:pPr>
            <a:defRPr sz="1203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/>
      <c:barChart>
        <c:barDir val="col"/>
        <c:grouping val="clustered"/>
        <c:ser>
          <c:idx val="1"/>
          <c:order val="0"/>
          <c:tx>
            <c:strRef>
              <c:f>Tabelle1!$J$2</c:f>
              <c:strCache>
                <c:ptCount val="1"/>
                <c:pt idx="0">
                  <c:v>Tax loss in % of total tax (and social security contribution) receipts</c:v>
                </c:pt>
              </c:strCache>
            </c:strRef>
          </c:tx>
          <c:dLbls>
            <c:dLbl>
              <c:idx val="12"/>
              <c:layout>
                <c:manualLayout>
                  <c:x val="4.4150110375275921E-3"/>
                  <c:y val="1.167031363967907E-2"/>
                </c:manualLayout>
              </c:layout>
              <c:dLblPos val="outEnd"/>
              <c:showVal val="1"/>
            </c:dLbl>
            <c:numFmt formatCode="0.0%" sourceLinked="0"/>
            <c:txPr>
              <a:bodyPr/>
              <a:lstStyle/>
              <a:p>
                <a:pPr>
                  <a:defRPr sz="1203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tr-TR"/>
              </a:p>
            </c:txPr>
            <c:dLblPos val="outEnd"/>
            <c:showVal val="1"/>
          </c:dLbls>
          <c:cat>
            <c:strRef>
              <c:f>Tabelle1!$A$3:$A$33</c:f>
              <c:strCache>
                <c:ptCount val="31"/>
                <c:pt idx="0">
                  <c:v>Austria</c:v>
                </c:pt>
                <c:pt idx="1">
                  <c:v>Belgium</c:v>
                </c:pt>
                <c:pt idx="2">
                  <c:v>Bulgaria</c:v>
                </c:pt>
                <c:pt idx="3">
                  <c:v>Croatia</c:v>
                </c:pt>
                <c:pt idx="4">
                  <c:v>Cyprus</c:v>
                </c:pt>
                <c:pt idx="5">
                  <c:v>Czech Republic</c:v>
                </c:pt>
                <c:pt idx="6">
                  <c:v>Denmark</c:v>
                </c:pt>
                <c:pt idx="7">
                  <c:v>Estonia</c:v>
                </c:pt>
                <c:pt idx="8">
                  <c:v>Finland</c:v>
                </c:pt>
                <c:pt idx="9">
                  <c:v>France</c:v>
                </c:pt>
                <c:pt idx="10">
                  <c:v>Germany</c:v>
                </c:pt>
                <c:pt idx="11">
                  <c:v>Greece</c:v>
                </c:pt>
                <c:pt idx="12">
                  <c:v>Hungary</c:v>
                </c:pt>
                <c:pt idx="13">
                  <c:v>Ireland</c:v>
                </c:pt>
                <c:pt idx="14">
                  <c:v>Italy</c:v>
                </c:pt>
                <c:pt idx="15">
                  <c:v>Latvia</c:v>
                </c:pt>
                <c:pt idx="16">
                  <c:v>Lithuania</c:v>
                </c:pt>
                <c:pt idx="17">
                  <c:v>Luxembourg</c:v>
                </c:pt>
                <c:pt idx="18">
                  <c:v>Malta</c:v>
                </c:pt>
                <c:pt idx="19">
                  <c:v>Netherlands</c:v>
                </c:pt>
                <c:pt idx="20">
                  <c:v>Poland</c:v>
                </c:pt>
                <c:pt idx="21">
                  <c:v>Portugal</c:v>
                </c:pt>
                <c:pt idx="22">
                  <c:v>Romania</c:v>
                </c:pt>
                <c:pt idx="23">
                  <c:v>Slovenia</c:v>
                </c:pt>
                <c:pt idx="24">
                  <c:v>Spain</c:v>
                </c:pt>
                <c:pt idx="25">
                  <c:v>Slovakia</c:v>
                </c:pt>
                <c:pt idx="26">
                  <c:v>Sweden </c:v>
                </c:pt>
                <c:pt idx="27">
                  <c:v>United Kingdom</c:v>
                </c:pt>
                <c:pt idx="28">
                  <c:v>Norway</c:v>
                </c:pt>
                <c:pt idx="29">
                  <c:v>Switzerland</c:v>
                </c:pt>
                <c:pt idx="30">
                  <c:v>Turkey</c:v>
                </c:pt>
              </c:strCache>
            </c:strRef>
          </c:cat>
          <c:val>
            <c:numRef>
              <c:f>Tabelle1!$J$3:$J$33</c:f>
              <c:numCache>
                <c:formatCode>0.0%</c:formatCode>
                <c:ptCount val="31"/>
                <c:pt idx="0">
                  <c:v>4.5000000000000012E-2</c:v>
                </c:pt>
                <c:pt idx="1">
                  <c:v>9.9000000000000046E-2</c:v>
                </c:pt>
                <c:pt idx="2">
                  <c:v>0.18800000000000006</c:v>
                </c:pt>
                <c:pt idx="3">
                  <c:v>0.17100000000000001</c:v>
                </c:pt>
                <c:pt idx="4">
                  <c:v>0.15200000000000005</c:v>
                </c:pt>
                <c:pt idx="5">
                  <c:v>9.3000000000000055E-2</c:v>
                </c:pt>
                <c:pt idx="6">
                  <c:v>7.8000000000000014E-2</c:v>
                </c:pt>
                <c:pt idx="7">
                  <c:v>0.16600000000000001</c:v>
                </c:pt>
                <c:pt idx="8">
                  <c:v>7.8000000000000014E-2</c:v>
                </c:pt>
                <c:pt idx="9">
                  <c:v>6.0000000000000019E-2</c:v>
                </c:pt>
                <c:pt idx="10">
                  <c:v>7.8000000000000014E-2</c:v>
                </c:pt>
                <c:pt idx="11">
                  <c:v>0.14200000000000004</c:v>
                </c:pt>
                <c:pt idx="12">
                  <c:v>0.13300000000000001</c:v>
                </c:pt>
                <c:pt idx="13">
                  <c:v>7.3999999999999996E-2</c:v>
                </c:pt>
                <c:pt idx="14">
                  <c:v>0.127</c:v>
                </c:pt>
                <c:pt idx="15">
                  <c:v>0.15400000000000005</c:v>
                </c:pt>
                <c:pt idx="16">
                  <c:v>0.16900000000000001</c:v>
                </c:pt>
                <c:pt idx="17">
                  <c:v>4.8000000000000001E-2</c:v>
                </c:pt>
                <c:pt idx="18">
                  <c:v>0.14700000000000005</c:v>
                </c:pt>
                <c:pt idx="19">
                  <c:v>5.5000000000000014E-2</c:v>
                </c:pt>
                <c:pt idx="20">
                  <c:v>0.14400000000000004</c:v>
                </c:pt>
                <c:pt idx="21">
                  <c:v>0.115</c:v>
                </c:pt>
                <c:pt idx="22">
                  <c:v>0.17100000000000001</c:v>
                </c:pt>
                <c:pt idx="23">
                  <c:v>0.13900000000000001</c:v>
                </c:pt>
                <c:pt idx="24">
                  <c:v>0.112</c:v>
                </c:pt>
                <c:pt idx="25">
                  <c:v>9.0000000000000024E-2</c:v>
                </c:pt>
                <c:pt idx="26">
                  <c:v>8.4000000000000047E-2</c:v>
                </c:pt>
                <c:pt idx="27">
                  <c:v>5.8000000000000003E-2</c:v>
                </c:pt>
                <c:pt idx="28">
                  <c:v>8.2000000000000003E-2</c:v>
                </c:pt>
                <c:pt idx="29">
                  <c:v>4.3000000000000003E-2</c:v>
                </c:pt>
                <c:pt idx="30">
                  <c:v>0.16</c:v>
                </c:pt>
              </c:numCache>
            </c:numRef>
          </c:val>
        </c:ser>
        <c:axId val="74487680"/>
        <c:axId val="74489216"/>
      </c:barChart>
      <c:catAx>
        <c:axId val="7448768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3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tr-TR"/>
          </a:p>
        </c:txPr>
        <c:crossAx val="74489216"/>
        <c:crosses val="autoZero"/>
        <c:auto val="1"/>
        <c:lblAlgn val="ctr"/>
        <c:lblOffset val="100"/>
      </c:catAx>
      <c:valAx>
        <c:axId val="74489216"/>
        <c:scaling>
          <c:orientation val="minMax"/>
        </c:scaling>
        <c:axPos val="l"/>
        <c:majorGridlines/>
        <c:numFmt formatCode="0.0%" sourceLinked="0"/>
        <c:tickLblPos val="nextTo"/>
        <c:txPr>
          <a:bodyPr/>
          <a:lstStyle/>
          <a:p>
            <a:pPr>
              <a:defRPr sz="1203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tr-TR"/>
          </a:p>
        </c:txPr>
        <c:crossAx val="74487680"/>
        <c:crosses val="autoZero"/>
        <c:crossBetween val="between"/>
      </c:valAx>
    </c:plotArea>
    <c:legend>
      <c:legendPos val="b"/>
      <c:txPr>
        <a:bodyPr/>
        <a:lstStyle/>
        <a:p>
          <a:pPr>
            <a:defRPr sz="1203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r-TR"/>
  <c:chart>
    <c:autoTitleDeleted val="1"/>
    <c:plotArea>
      <c:layout/>
      <c:barChart>
        <c:barDir val="col"/>
        <c:grouping val="clustered"/>
        <c:ser>
          <c:idx val="1"/>
          <c:order val="0"/>
          <c:tx>
            <c:strRef>
              <c:f>Tabelle1!$J$2</c:f>
              <c:strCache>
                <c:ptCount val="1"/>
                <c:pt idx="0">
                  <c:v>Tax loss in % of total tax (and social security contribution) receipts</c:v>
                </c:pt>
              </c:strCache>
            </c:strRef>
          </c:tx>
          <c:dLbls>
            <c:dLbl>
              <c:idx val="12"/>
              <c:layout>
                <c:manualLayout>
                  <c:x val="4.4150110375275929E-3"/>
                  <c:y val="1.167031363967907E-2"/>
                </c:manualLayout>
              </c:layout>
              <c:dLblPos val="outEnd"/>
              <c:showVal val="1"/>
            </c:dLbl>
            <c:numFmt formatCode="0.0%" sourceLinked="0"/>
            <c:txPr>
              <a:bodyPr rot="-5400000" vert="horz"/>
              <a:lstStyle/>
              <a:p>
                <a:pPr>
                  <a:defRPr sz="1203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tr-TR"/>
              </a:p>
            </c:txPr>
            <c:dLblPos val="outEnd"/>
            <c:showVal val="1"/>
          </c:dLbls>
          <c:cat>
            <c:strRef>
              <c:f>Tabelle1!$A$3:$A$33</c:f>
              <c:strCache>
                <c:ptCount val="31"/>
                <c:pt idx="0">
                  <c:v>Switzerland</c:v>
                </c:pt>
                <c:pt idx="1">
                  <c:v>Austria</c:v>
                </c:pt>
                <c:pt idx="2">
                  <c:v>Luxembourg</c:v>
                </c:pt>
                <c:pt idx="3">
                  <c:v>Netherlands</c:v>
                </c:pt>
                <c:pt idx="4">
                  <c:v>United Kingdom</c:v>
                </c:pt>
                <c:pt idx="5">
                  <c:v>France</c:v>
                </c:pt>
                <c:pt idx="6">
                  <c:v>Ireland</c:v>
                </c:pt>
                <c:pt idx="7">
                  <c:v>Denmark</c:v>
                </c:pt>
                <c:pt idx="8">
                  <c:v>Finland</c:v>
                </c:pt>
                <c:pt idx="9">
                  <c:v>Germany</c:v>
                </c:pt>
                <c:pt idx="10">
                  <c:v>Norway</c:v>
                </c:pt>
                <c:pt idx="11">
                  <c:v>Sweden </c:v>
                </c:pt>
                <c:pt idx="12">
                  <c:v>Slovakia</c:v>
                </c:pt>
                <c:pt idx="13">
                  <c:v>Czech Republic</c:v>
                </c:pt>
                <c:pt idx="14">
                  <c:v>Belgium</c:v>
                </c:pt>
                <c:pt idx="15">
                  <c:v>Spain</c:v>
                </c:pt>
                <c:pt idx="16">
                  <c:v>Portugal</c:v>
                </c:pt>
                <c:pt idx="17">
                  <c:v>Italy</c:v>
                </c:pt>
                <c:pt idx="18">
                  <c:v>Hungary</c:v>
                </c:pt>
                <c:pt idx="19">
                  <c:v>Slovenia</c:v>
                </c:pt>
                <c:pt idx="20">
                  <c:v>Greece</c:v>
                </c:pt>
                <c:pt idx="21">
                  <c:v>Poland</c:v>
                </c:pt>
                <c:pt idx="22">
                  <c:v>Malta</c:v>
                </c:pt>
                <c:pt idx="23">
                  <c:v>Cyprus</c:v>
                </c:pt>
                <c:pt idx="24">
                  <c:v>Latvia</c:v>
                </c:pt>
                <c:pt idx="25">
                  <c:v>Turkey</c:v>
                </c:pt>
                <c:pt idx="26">
                  <c:v>Estonia</c:v>
                </c:pt>
                <c:pt idx="27">
                  <c:v>Lithuania</c:v>
                </c:pt>
                <c:pt idx="28">
                  <c:v>Croatia</c:v>
                </c:pt>
                <c:pt idx="29">
                  <c:v>Romania</c:v>
                </c:pt>
                <c:pt idx="30">
                  <c:v>Bulgaria</c:v>
                </c:pt>
              </c:strCache>
            </c:strRef>
          </c:cat>
          <c:val>
            <c:numRef>
              <c:f>Tabelle1!$J$3:$J$33</c:f>
              <c:numCache>
                <c:formatCode>0.0%</c:formatCode>
                <c:ptCount val="31"/>
                <c:pt idx="0">
                  <c:v>4.3000000000000003E-2</c:v>
                </c:pt>
                <c:pt idx="1">
                  <c:v>4.5000000000000012E-2</c:v>
                </c:pt>
                <c:pt idx="2">
                  <c:v>4.8000000000000015E-2</c:v>
                </c:pt>
                <c:pt idx="3">
                  <c:v>5.5000000000000014E-2</c:v>
                </c:pt>
                <c:pt idx="4">
                  <c:v>5.8000000000000017E-2</c:v>
                </c:pt>
                <c:pt idx="5">
                  <c:v>6.0000000000000019E-2</c:v>
                </c:pt>
                <c:pt idx="6">
                  <c:v>7.4000000000000024E-2</c:v>
                </c:pt>
                <c:pt idx="7">
                  <c:v>7.8000000000000014E-2</c:v>
                </c:pt>
                <c:pt idx="8">
                  <c:v>7.8000000000000014E-2</c:v>
                </c:pt>
                <c:pt idx="9">
                  <c:v>7.8000000000000014E-2</c:v>
                </c:pt>
                <c:pt idx="10">
                  <c:v>8.2000000000000003E-2</c:v>
                </c:pt>
                <c:pt idx="11">
                  <c:v>8.4000000000000047E-2</c:v>
                </c:pt>
                <c:pt idx="12">
                  <c:v>9.0000000000000024E-2</c:v>
                </c:pt>
                <c:pt idx="13">
                  <c:v>9.3000000000000055E-2</c:v>
                </c:pt>
                <c:pt idx="14">
                  <c:v>9.9000000000000046E-2</c:v>
                </c:pt>
                <c:pt idx="15">
                  <c:v>0.11200000000000002</c:v>
                </c:pt>
                <c:pt idx="16">
                  <c:v>0.11500000000000002</c:v>
                </c:pt>
                <c:pt idx="17">
                  <c:v>0.127</c:v>
                </c:pt>
                <c:pt idx="18">
                  <c:v>0.13300000000000001</c:v>
                </c:pt>
                <c:pt idx="19">
                  <c:v>0.13900000000000001</c:v>
                </c:pt>
                <c:pt idx="20">
                  <c:v>0.14200000000000004</c:v>
                </c:pt>
                <c:pt idx="21">
                  <c:v>0.14400000000000004</c:v>
                </c:pt>
                <c:pt idx="22">
                  <c:v>0.14700000000000005</c:v>
                </c:pt>
                <c:pt idx="23">
                  <c:v>0.15200000000000005</c:v>
                </c:pt>
                <c:pt idx="24">
                  <c:v>0.15400000000000005</c:v>
                </c:pt>
                <c:pt idx="25">
                  <c:v>0.16000000000000003</c:v>
                </c:pt>
                <c:pt idx="26">
                  <c:v>0.16600000000000004</c:v>
                </c:pt>
                <c:pt idx="27">
                  <c:v>0.16900000000000004</c:v>
                </c:pt>
                <c:pt idx="28">
                  <c:v>0.17100000000000001</c:v>
                </c:pt>
                <c:pt idx="29">
                  <c:v>0.17100000000000001</c:v>
                </c:pt>
                <c:pt idx="30">
                  <c:v>0.18800000000000006</c:v>
                </c:pt>
              </c:numCache>
            </c:numRef>
          </c:val>
        </c:ser>
        <c:axId val="98577408"/>
        <c:axId val="98579200"/>
      </c:barChart>
      <c:catAx>
        <c:axId val="985774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203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tr-TR"/>
          </a:p>
        </c:txPr>
        <c:crossAx val="98579200"/>
        <c:crosses val="autoZero"/>
        <c:auto val="1"/>
        <c:lblAlgn val="ctr"/>
        <c:lblOffset val="100"/>
      </c:catAx>
      <c:valAx>
        <c:axId val="98579200"/>
        <c:scaling>
          <c:orientation val="minMax"/>
        </c:scaling>
        <c:axPos val="l"/>
        <c:majorGridlines/>
        <c:numFmt formatCode="0.0%" sourceLinked="0"/>
        <c:tickLblPos val="nextTo"/>
        <c:txPr>
          <a:bodyPr/>
          <a:lstStyle/>
          <a:p>
            <a:pPr>
              <a:defRPr sz="1203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tr-TR"/>
          </a:p>
        </c:txPr>
        <c:crossAx val="98577408"/>
        <c:crosses val="autoZero"/>
        <c:crossBetween val="between"/>
      </c:valAx>
    </c:plotArea>
    <c:legend>
      <c:legendPos val="b"/>
      <c:txPr>
        <a:bodyPr/>
        <a:lstStyle/>
        <a:p>
          <a:pPr>
            <a:defRPr sz="1203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2224</Words>
  <Characters>12678</Characters>
  <Application>Microsoft Office Word</Application>
  <DocSecurity>0</DocSecurity>
  <Lines>105</Lines>
  <Paragraphs>29</Paragraphs>
  <ScaleCrop>false</ScaleCrop>
  <Company/>
  <LinksUpToDate>false</LinksUpToDate>
  <CharactersWithSpaces>14873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2016-02-26T11:20:00Z</dcterms:created>
  <dcterms:modified xsi:type="dcterms:W3CDTF">2016-02-26T11:21:00Z</dcterms:modified>
</cp:coreProperties>
</file>