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7F" w:rsidRPr="00AB0393" w:rsidRDefault="00F3437F" w:rsidP="00F3437F">
      <w:pPr>
        <w:pStyle w:val="2"/>
        <w:spacing w:before="6" w:after="6"/>
        <w:ind w:right="576"/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  <w:lang w:val="en-US"/>
        </w:rPr>
        <w:t>Graph 1</w:t>
      </w:r>
      <w:r w:rsidRPr="00AB0393">
        <w:rPr>
          <w:rFonts w:ascii="Times New Roman" w:hAnsi="Times New Roman"/>
          <w:b/>
          <w:sz w:val="22"/>
          <w:szCs w:val="22"/>
          <w:lang w:val="en-US"/>
        </w:rPr>
        <w:t xml:space="preserve">. </w:t>
      </w:r>
      <w:r w:rsidRPr="00FC0354">
        <w:rPr>
          <w:rFonts w:ascii="Times New Roman" w:hAnsi="Times New Roman"/>
          <w:i/>
          <w:sz w:val="22"/>
          <w:szCs w:val="22"/>
          <w:lang w:val="en-US"/>
        </w:rPr>
        <w:t>Evolution of key policy rates</w:t>
      </w:r>
    </w:p>
    <w:p w:rsidR="00F3437F" w:rsidRPr="00AB0393" w:rsidRDefault="00F3437F" w:rsidP="00F3437F">
      <w:pPr>
        <w:spacing w:before="6" w:after="6"/>
        <w:ind w:left="576" w:right="576"/>
        <w:rPr>
          <w:lang w:eastAsia="tr-TR"/>
        </w:rPr>
      </w:pPr>
      <w:r w:rsidRPr="00AB0393">
        <w:rPr>
          <w:noProof/>
        </w:rPr>
        <w:drawing>
          <wp:inline distT="0" distB="0" distL="0" distR="0" wp14:anchorId="70C343DF" wp14:editId="0E0FC849">
            <wp:extent cx="4400550" cy="1923419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287" cy="192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37F" w:rsidRDefault="00F3437F" w:rsidP="00F3437F">
      <w:pPr>
        <w:pStyle w:val="2"/>
        <w:tabs>
          <w:tab w:val="left" w:pos="900"/>
        </w:tabs>
        <w:spacing w:before="6" w:after="6"/>
        <w:ind w:left="1440" w:right="576" w:hanging="864"/>
        <w:jc w:val="both"/>
        <w:rPr>
          <w:rFonts w:ascii="Times New Roman" w:hAnsi="Times New Roman"/>
          <w:sz w:val="22"/>
          <w:szCs w:val="22"/>
          <w:lang w:val="en-US"/>
        </w:rPr>
      </w:pPr>
      <w:r w:rsidRPr="00FC0354">
        <w:rPr>
          <w:rFonts w:ascii="Times New Roman" w:hAnsi="Times New Roman"/>
          <w:b/>
          <w:sz w:val="22"/>
          <w:szCs w:val="22"/>
          <w:lang w:val="en-US"/>
        </w:rPr>
        <w:t>Source:</w:t>
      </w:r>
      <w:r w:rsidRPr="00AB0393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AB0393">
        <w:rPr>
          <w:rFonts w:ascii="Times New Roman" w:hAnsi="Times New Roman"/>
          <w:sz w:val="22"/>
          <w:szCs w:val="22"/>
          <w:lang w:val="en-US"/>
        </w:rPr>
        <w:t>Lenza</w:t>
      </w:r>
      <w:proofErr w:type="spellEnd"/>
      <w:r w:rsidRPr="00AB0393">
        <w:rPr>
          <w:rFonts w:ascii="Times New Roman" w:hAnsi="Times New Roman"/>
          <w:sz w:val="22"/>
          <w:szCs w:val="22"/>
          <w:lang w:val="en-US"/>
        </w:rPr>
        <w:t xml:space="preserve">, M., Pill, H. &amp; </w:t>
      </w:r>
      <w:proofErr w:type="spellStart"/>
      <w:r w:rsidRPr="00AB0393">
        <w:rPr>
          <w:rFonts w:ascii="Times New Roman" w:hAnsi="Times New Roman"/>
          <w:sz w:val="22"/>
          <w:szCs w:val="22"/>
          <w:lang w:val="en-US"/>
        </w:rPr>
        <w:t>Reichlin</w:t>
      </w:r>
      <w:proofErr w:type="spellEnd"/>
      <w:r w:rsidRPr="00AB0393">
        <w:rPr>
          <w:rFonts w:ascii="Times New Roman" w:hAnsi="Times New Roman"/>
          <w:sz w:val="22"/>
          <w:szCs w:val="22"/>
          <w:lang w:val="en-US"/>
        </w:rPr>
        <w:t xml:space="preserve">, L. (2010), </w:t>
      </w:r>
      <w:r w:rsidRPr="00AB0393">
        <w:rPr>
          <w:rFonts w:ascii="Times New Roman" w:hAnsi="Times New Roman"/>
          <w:i/>
          <w:sz w:val="22"/>
          <w:szCs w:val="22"/>
          <w:lang w:val="en-US"/>
        </w:rPr>
        <w:t>Monetary Policy in exceptional times</w:t>
      </w:r>
      <w:r w:rsidRPr="00AB0393">
        <w:rPr>
          <w:rFonts w:ascii="Times New Roman" w:hAnsi="Times New Roman"/>
          <w:sz w:val="22"/>
          <w:szCs w:val="22"/>
          <w:lang w:val="en-US"/>
        </w:rPr>
        <w:t>, ECB Working Paper Series № 1253</w:t>
      </w:r>
    </w:p>
    <w:p w:rsidR="00F3437F" w:rsidRDefault="00F3437F" w:rsidP="00F3437F">
      <w:pPr>
        <w:rPr>
          <w:lang w:eastAsia="tr-TR"/>
        </w:rPr>
      </w:pPr>
    </w:p>
    <w:p w:rsidR="00F3437F" w:rsidRDefault="00F3437F" w:rsidP="00F3437F">
      <w:pPr>
        <w:pStyle w:val="2"/>
        <w:spacing w:before="6" w:after="6"/>
        <w:ind w:right="576"/>
        <w:rPr>
          <w:rFonts w:ascii="Times New Roman" w:hAnsi="Times New Roman"/>
          <w:i/>
          <w:sz w:val="22"/>
          <w:lang w:val="en-US"/>
        </w:rPr>
      </w:pPr>
      <w:r w:rsidRPr="00AB0393">
        <w:rPr>
          <w:rFonts w:ascii="Times New Roman" w:hAnsi="Times New Roman"/>
          <w:b/>
          <w:sz w:val="22"/>
          <w:lang w:val="en-US"/>
        </w:rPr>
        <w:t xml:space="preserve">Graph 2. </w:t>
      </w:r>
      <w:r w:rsidRPr="00FC0354">
        <w:rPr>
          <w:rFonts w:ascii="Times New Roman" w:hAnsi="Times New Roman"/>
          <w:i/>
          <w:sz w:val="22"/>
          <w:lang w:val="en-US"/>
        </w:rPr>
        <w:t>Balance Sheets of advanced Central Banks</w:t>
      </w:r>
    </w:p>
    <w:p w:rsidR="00F3437F" w:rsidRPr="00940720" w:rsidRDefault="00F3437F" w:rsidP="00F3437F">
      <w:pPr>
        <w:pStyle w:val="2"/>
        <w:spacing w:before="6" w:after="6"/>
        <w:ind w:left="576" w:right="576"/>
        <w:rPr>
          <w:sz w:val="16"/>
        </w:rPr>
      </w:pPr>
    </w:p>
    <w:p w:rsidR="00F3437F" w:rsidRPr="00AB0393" w:rsidRDefault="00F3437F" w:rsidP="00F3437F">
      <w:pPr>
        <w:pStyle w:val="a5"/>
        <w:shd w:val="clear" w:color="auto" w:fill="FFFFFF"/>
        <w:spacing w:before="6" w:beforeAutospacing="0" w:after="6" w:afterAutospacing="0" w:line="336" w:lineRule="atLeast"/>
        <w:ind w:left="576" w:right="576"/>
        <w:jc w:val="both"/>
        <w:rPr>
          <w:rFonts w:ascii="Noto Sans" w:hAnsi="Noto Sans"/>
          <w:color w:val="555555"/>
        </w:rPr>
      </w:pPr>
      <w:r w:rsidRPr="00AB0393">
        <w:rPr>
          <w:noProof/>
        </w:rPr>
        <w:drawing>
          <wp:inline distT="0" distB="0" distL="0" distR="0" wp14:anchorId="336C0CD1" wp14:editId="53348EA8">
            <wp:extent cx="4468633" cy="2170706"/>
            <wp:effectExtent l="0" t="0" r="825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 201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842" cy="217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37F" w:rsidRPr="00FC0354" w:rsidRDefault="00F3437F" w:rsidP="00F3437F">
      <w:pPr>
        <w:pStyle w:val="2"/>
        <w:spacing w:before="6" w:after="6"/>
        <w:ind w:left="576" w:right="576"/>
        <w:rPr>
          <w:rFonts w:ascii="Times New Roman" w:hAnsi="Times New Roman"/>
          <w:sz w:val="22"/>
          <w:lang w:val="en-US"/>
        </w:rPr>
      </w:pPr>
      <w:r>
        <w:rPr>
          <w:rFonts w:ascii="Times New Roman" w:hAnsi="Times New Roman"/>
          <w:i/>
          <w:sz w:val="22"/>
          <w:lang w:val="en-US"/>
        </w:rPr>
        <w:t xml:space="preserve">     </w:t>
      </w:r>
      <w:r w:rsidRPr="00FC0354">
        <w:rPr>
          <w:rFonts w:ascii="Times New Roman" w:hAnsi="Times New Roman"/>
          <w:b/>
          <w:sz w:val="22"/>
          <w:lang w:val="en-US"/>
        </w:rPr>
        <w:t xml:space="preserve">Source: </w:t>
      </w:r>
      <w:r w:rsidRPr="00FC0354">
        <w:rPr>
          <w:rFonts w:ascii="Times New Roman" w:hAnsi="Times New Roman"/>
          <w:sz w:val="22"/>
          <w:lang w:val="en-US"/>
        </w:rPr>
        <w:t>Bloomberg, RBA &amp; Thomson Reuters</w:t>
      </w:r>
    </w:p>
    <w:p w:rsidR="00F3437F" w:rsidRPr="00DD7367" w:rsidRDefault="00F3437F" w:rsidP="00F3437F">
      <w:pPr>
        <w:pStyle w:val="2"/>
        <w:rPr>
          <w:rFonts w:ascii="Times New Roman" w:hAnsi="Times New Roman"/>
          <w:sz w:val="22"/>
          <w:szCs w:val="22"/>
        </w:rPr>
      </w:pPr>
      <w:r>
        <w:rPr>
          <w:szCs w:val="22"/>
        </w:rPr>
        <w:t xml:space="preserve">              </w:t>
      </w:r>
      <w:r w:rsidRPr="00DD7367">
        <w:rPr>
          <w:rFonts w:ascii="Times New Roman" w:hAnsi="Times New Roman"/>
          <w:b/>
          <w:sz w:val="22"/>
          <w:szCs w:val="22"/>
          <w:lang w:val="en-US"/>
        </w:rPr>
        <w:t>Note</w:t>
      </w:r>
      <w:r w:rsidRPr="00DD7367">
        <w:rPr>
          <w:rFonts w:ascii="Times New Roman" w:hAnsi="Times New Roman"/>
          <w:sz w:val="22"/>
          <w:szCs w:val="22"/>
          <w:lang w:val="en-US"/>
        </w:rPr>
        <w:t xml:space="preserve">: </w:t>
      </w:r>
      <w:r w:rsidRPr="00DD7367">
        <w:rPr>
          <w:rFonts w:ascii="Times New Roman" w:hAnsi="Times New Roman"/>
          <w:sz w:val="22"/>
          <w:szCs w:val="22"/>
        </w:rPr>
        <w:t>Based on central bank communicated intentions assuming constant exchange rates</w:t>
      </w:r>
    </w:p>
    <w:p w:rsidR="00F3437F" w:rsidRDefault="00F3437F" w:rsidP="00F3437F">
      <w:pPr>
        <w:pStyle w:val="2"/>
      </w:pPr>
    </w:p>
    <w:p w:rsidR="00F3437F" w:rsidRPr="00AB0393" w:rsidRDefault="00F3437F" w:rsidP="00F3437F">
      <w:pPr>
        <w:pStyle w:val="2"/>
        <w:spacing w:before="6" w:after="6"/>
        <w:ind w:right="576"/>
      </w:pPr>
      <w:r w:rsidRPr="008E3565">
        <w:rPr>
          <w:rFonts w:ascii="Times New Roman" w:hAnsi="Times New Roman"/>
          <w:b/>
          <w:sz w:val="22"/>
        </w:rPr>
        <w:lastRenderedPageBreak/>
        <w:t>Graph 3.</w:t>
      </w:r>
      <w:r w:rsidRPr="008E3565">
        <w:rPr>
          <w:rFonts w:ascii="Times New Roman" w:hAnsi="Times New Roman"/>
          <w:sz w:val="22"/>
        </w:rPr>
        <w:t xml:space="preserve"> </w:t>
      </w:r>
      <w:r w:rsidRPr="008E3565">
        <w:rPr>
          <w:rFonts w:ascii="Times New Roman" w:hAnsi="Times New Roman"/>
          <w:i/>
          <w:sz w:val="22"/>
        </w:rPr>
        <w:t>Relation between Monetary policy and Financial Stability</w:t>
      </w:r>
      <w:bookmarkStart w:id="0" w:name="_GoBack"/>
      <w:bookmarkEnd w:id="0"/>
      <w:r w:rsidRPr="00AB0393">
        <w:rPr>
          <w:rFonts w:ascii="SegoeUI" w:hAnsi="SegoeUI" w:cs="SegoeUI"/>
          <w:noProof/>
          <w:color w:val="000000"/>
        </w:rPr>
        <w:drawing>
          <wp:inline distT="0" distB="0" distL="0" distR="0" wp14:anchorId="537EF56D" wp14:editId="489A2EA3">
            <wp:extent cx="5705475" cy="3362325"/>
            <wp:effectExtent l="0" t="0" r="9525" b="9525"/>
            <wp:docPr id="2" name="Рисунок 2" descr="C:\Users\User\Desktop\Monetary &amp; Financial Stabil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onetary &amp; Financial Stabilit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37F" w:rsidRDefault="00F3437F" w:rsidP="00F3437F">
      <w:pPr>
        <w:pStyle w:val="2"/>
        <w:spacing w:before="6" w:after="6"/>
        <w:ind w:left="576" w:right="576"/>
        <w:rPr>
          <w:rFonts w:ascii="Times New Roman" w:hAnsi="Times New Roman"/>
          <w:sz w:val="22"/>
          <w:szCs w:val="22"/>
        </w:rPr>
      </w:pPr>
      <w:r w:rsidRPr="008E3565">
        <w:rPr>
          <w:rFonts w:ascii="Times New Roman" w:hAnsi="Times New Roman"/>
          <w:b/>
          <w:sz w:val="22"/>
          <w:szCs w:val="22"/>
          <w:lang w:val="en-US"/>
        </w:rPr>
        <w:t xml:space="preserve">Source: </w:t>
      </w:r>
      <w:r w:rsidRPr="008E3565">
        <w:rPr>
          <w:rFonts w:ascii="Times New Roman" w:hAnsi="Times New Roman"/>
          <w:sz w:val="22"/>
          <w:szCs w:val="22"/>
          <w:lang w:val="en-US"/>
        </w:rPr>
        <w:t>Bank</w:t>
      </w:r>
      <w:r w:rsidRPr="008E3565">
        <w:rPr>
          <w:rFonts w:ascii="Times New Roman" w:hAnsi="Times New Roman"/>
          <w:sz w:val="22"/>
          <w:szCs w:val="22"/>
        </w:rPr>
        <w:t xml:space="preserve"> of England, Financial Stability Report, № 33, June 2013</w:t>
      </w:r>
    </w:p>
    <w:p w:rsidR="00F3437F" w:rsidRPr="00F3437F" w:rsidRDefault="00F3437F" w:rsidP="00F3437F">
      <w:pPr>
        <w:rPr>
          <w:lang w:val="tr-TR" w:eastAsia="tr-TR"/>
        </w:rPr>
      </w:pPr>
    </w:p>
    <w:p w:rsidR="00F3437F" w:rsidRPr="00AB0393" w:rsidRDefault="00F3437F" w:rsidP="00F3437F">
      <w:pPr>
        <w:pStyle w:val="2"/>
        <w:spacing w:before="6" w:after="6"/>
        <w:ind w:left="576" w:right="576"/>
        <w:rPr>
          <w:rFonts w:ascii="Times New Roman" w:hAnsi="Times New Roman"/>
          <w:b/>
          <w:sz w:val="22"/>
          <w:szCs w:val="22"/>
          <w:lang w:val="en-US"/>
        </w:rPr>
      </w:pPr>
      <w:r w:rsidRPr="00AB0393">
        <w:rPr>
          <w:rFonts w:ascii="Times New Roman" w:hAnsi="Times New Roman"/>
          <w:b/>
          <w:sz w:val="22"/>
          <w:szCs w:val="22"/>
          <w:lang w:val="en-US"/>
        </w:rPr>
        <w:t xml:space="preserve">Table 1. </w:t>
      </w:r>
      <w:r w:rsidRPr="00FC0354">
        <w:rPr>
          <w:rFonts w:ascii="Times New Roman" w:hAnsi="Times New Roman"/>
          <w:i/>
          <w:sz w:val="22"/>
          <w:szCs w:val="22"/>
          <w:lang w:val="en-US"/>
        </w:rPr>
        <w:t>Risks from MP-Plus and Mitigating Policies</w:t>
      </w:r>
    </w:p>
    <w:tbl>
      <w:tblPr>
        <w:tblStyle w:val="-5"/>
        <w:tblW w:w="10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2610"/>
        <w:gridCol w:w="2524"/>
        <w:gridCol w:w="3155"/>
      </w:tblGrid>
      <w:tr w:rsidR="00F3437F" w:rsidRPr="00AB0393" w:rsidTr="00080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MP- </w:t>
            </w:r>
            <w:r w:rsidRPr="00AB0393">
              <w:rPr>
                <w:rFonts w:ascii="Times New Roman" w:hAnsi="Times New Roman" w:cs="Times New Roman"/>
              </w:rPr>
              <w:t>Plus Policy</w:t>
            </w:r>
          </w:p>
        </w:tc>
        <w:tc>
          <w:tcPr>
            <w:tcW w:w="2610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0393">
              <w:rPr>
                <w:rFonts w:ascii="Times New Roman" w:hAnsi="Times New Roman" w:cs="Times New Roman"/>
              </w:rPr>
              <w:t>Potential Risk</w:t>
            </w:r>
          </w:p>
        </w:tc>
        <w:tc>
          <w:tcPr>
            <w:tcW w:w="2524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0393">
              <w:rPr>
                <w:rFonts w:ascii="Times New Roman" w:hAnsi="Times New Roman" w:cs="Times New Roman"/>
              </w:rPr>
              <w:t>Risk Assessment</w:t>
            </w:r>
          </w:p>
        </w:tc>
        <w:tc>
          <w:tcPr>
            <w:tcW w:w="3155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B0393">
              <w:rPr>
                <w:rFonts w:ascii="Times New Roman" w:hAnsi="Times New Roman" w:cs="Times New Roman"/>
              </w:rPr>
              <w:t>Mitigating Policies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Prolonged periods of low interest rates</w:t>
            </w:r>
          </w:p>
        </w:tc>
        <w:tc>
          <w:tcPr>
            <w:tcW w:w="2610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Pressure on the profitability and solvency of financial institutions</w:t>
            </w:r>
          </w:p>
        </w:tc>
        <w:tc>
          <w:tcPr>
            <w:tcW w:w="2524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Low</w:t>
            </w:r>
          </w:p>
        </w:tc>
        <w:tc>
          <w:tcPr>
            <w:tcW w:w="3155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Robust capital requirements</w:t>
            </w:r>
          </w:p>
        </w:tc>
      </w:tr>
      <w:tr w:rsidR="00F3437F" w:rsidRPr="00AB0393" w:rsidTr="000806E2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Excessive Risk Taking (search for yield)</w:t>
            </w:r>
          </w:p>
        </w:tc>
        <w:tc>
          <w:tcPr>
            <w:tcW w:w="2524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Low</w:t>
            </w:r>
          </w:p>
        </w:tc>
        <w:tc>
          <w:tcPr>
            <w:tcW w:w="3155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Vigilant risk-based supervision, robust capital requirements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Ever greening, delay in balance sheet</w:t>
            </w:r>
          </w:p>
        </w:tc>
        <w:tc>
          <w:tcPr>
            <w:tcW w:w="2524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Medium</w:t>
            </w:r>
          </w:p>
        </w:tc>
        <w:tc>
          <w:tcPr>
            <w:tcW w:w="3155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Vigorous pursuit of balance sheet repair</w:t>
            </w:r>
          </w:p>
        </w:tc>
      </w:tr>
      <w:tr w:rsidR="00F3437F" w:rsidRPr="00AB0393" w:rsidTr="000806E2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Quantitative easing</w:t>
            </w:r>
          </w:p>
        </w:tc>
        <w:tc>
          <w:tcPr>
            <w:tcW w:w="2610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Dependence on central bank financing</w:t>
            </w:r>
          </w:p>
        </w:tc>
        <w:tc>
          <w:tcPr>
            <w:tcW w:w="2524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Medium</w:t>
            </w:r>
          </w:p>
        </w:tc>
        <w:tc>
          <w:tcPr>
            <w:tcW w:w="3155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Improved liquidity risk management in banks, implementation of liquidity requirements, design of systemic liquidity risk </w:t>
            </w:r>
            <w:proofErr w:type="spellStart"/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mitigants</w:t>
            </w:r>
            <w:proofErr w:type="spellEnd"/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 w:val="restart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Indirect credit easing</w:t>
            </w:r>
          </w:p>
        </w:tc>
        <w:tc>
          <w:tcPr>
            <w:tcW w:w="2610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Dependence on public sector financing</w:t>
            </w:r>
          </w:p>
        </w:tc>
        <w:tc>
          <w:tcPr>
            <w:tcW w:w="2524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Medium</w:t>
            </w:r>
          </w:p>
        </w:tc>
        <w:tc>
          <w:tcPr>
            <w:tcW w:w="3155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 xml:space="preserve">Improved liquidity risk management in banks, implementation of liquidity </w:t>
            </w: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lastRenderedPageBreak/>
              <w:t xml:space="preserve">requirements, design of systemic liquidity risk </w:t>
            </w:r>
            <w:proofErr w:type="spellStart"/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mitigants</w:t>
            </w:r>
            <w:proofErr w:type="spellEnd"/>
          </w:p>
        </w:tc>
      </w:tr>
      <w:tr w:rsidR="00F3437F" w:rsidRPr="00AB0393" w:rsidTr="000806E2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Distortion of allocation of credit, possibly weakening underwriting standards</w:t>
            </w:r>
          </w:p>
        </w:tc>
        <w:tc>
          <w:tcPr>
            <w:tcW w:w="2524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Low</w:t>
            </w:r>
          </w:p>
        </w:tc>
        <w:tc>
          <w:tcPr>
            <w:tcW w:w="3155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Vigilant risk-based supervision, dynamic forward-looking provisioning, robust capital requirements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Delay in balance sheet repair</w:t>
            </w:r>
          </w:p>
        </w:tc>
        <w:tc>
          <w:tcPr>
            <w:tcW w:w="2524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Medium</w:t>
            </w:r>
          </w:p>
        </w:tc>
        <w:tc>
          <w:tcPr>
            <w:tcW w:w="3155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Vigorous pursuit of balance sheet repair</w:t>
            </w:r>
          </w:p>
        </w:tc>
      </w:tr>
      <w:tr w:rsidR="00F3437F" w:rsidRPr="00AB0393" w:rsidTr="000806E2">
        <w:trPr>
          <w:trHeight w:val="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Merge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2"/>
                <w:lang w:val="en-US"/>
              </w:rPr>
            </w:pPr>
          </w:p>
        </w:tc>
        <w:tc>
          <w:tcPr>
            <w:tcW w:w="2610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Reinforcement of bank–sovereign links</w:t>
            </w:r>
          </w:p>
        </w:tc>
        <w:tc>
          <w:tcPr>
            <w:tcW w:w="2524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Medium</w:t>
            </w:r>
          </w:p>
        </w:tc>
        <w:tc>
          <w:tcPr>
            <w:tcW w:w="3155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Vigorous pursuit of balance sheet repair, robust capital requirements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Direct credit easing</w:t>
            </w:r>
          </w:p>
        </w:tc>
        <w:tc>
          <w:tcPr>
            <w:tcW w:w="2610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Distortion in prices and market functioning</w:t>
            </w:r>
          </w:p>
        </w:tc>
        <w:tc>
          <w:tcPr>
            <w:tcW w:w="2524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Low</w:t>
            </w:r>
          </w:p>
        </w:tc>
        <w:tc>
          <w:tcPr>
            <w:tcW w:w="3155" w:type="dxa"/>
            <w:vAlign w:val="center"/>
          </w:tcPr>
          <w:p w:rsidR="00F3437F" w:rsidRPr="004936FC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4936FC">
              <w:rPr>
                <w:rFonts w:ascii="Times New Roman" w:hAnsi="Times New Roman"/>
                <w:sz w:val="20"/>
                <w:szCs w:val="22"/>
                <w:lang w:val="en-US"/>
              </w:rPr>
              <w:t>Address associated market risks in banks</w:t>
            </w:r>
          </w:p>
        </w:tc>
      </w:tr>
    </w:tbl>
    <w:p w:rsidR="00F3437F" w:rsidRPr="00AB0393" w:rsidRDefault="00F3437F" w:rsidP="00F3437F">
      <w:pPr>
        <w:pStyle w:val="2"/>
        <w:tabs>
          <w:tab w:val="left" w:pos="450"/>
          <w:tab w:val="left" w:pos="900"/>
        </w:tabs>
        <w:spacing w:before="6" w:after="6"/>
        <w:ind w:left="576" w:right="576"/>
        <w:jc w:val="both"/>
        <w:rPr>
          <w:rFonts w:ascii="Times New Roman" w:hAnsi="Times New Roman"/>
          <w:i/>
          <w:sz w:val="22"/>
          <w:szCs w:val="22"/>
          <w:lang w:val="en-US"/>
        </w:rPr>
      </w:pPr>
      <w:r w:rsidRPr="00FC0354">
        <w:rPr>
          <w:rFonts w:ascii="Times New Roman" w:hAnsi="Times New Roman"/>
          <w:b/>
          <w:sz w:val="22"/>
          <w:szCs w:val="22"/>
          <w:lang w:val="en-US"/>
        </w:rPr>
        <w:t>Source:</w:t>
      </w:r>
      <w:r w:rsidRPr="00AB0393">
        <w:rPr>
          <w:rFonts w:ascii="Times New Roman" w:hAnsi="Times New Roman"/>
          <w:b/>
          <w:i/>
          <w:sz w:val="22"/>
          <w:szCs w:val="22"/>
          <w:lang w:val="en-US"/>
        </w:rPr>
        <w:t xml:space="preserve"> </w:t>
      </w:r>
      <w:r w:rsidRPr="00AB0393">
        <w:rPr>
          <w:rFonts w:ascii="Times New Roman" w:hAnsi="Times New Roman"/>
          <w:sz w:val="22"/>
          <w:szCs w:val="22"/>
          <w:lang w:val="en-US"/>
        </w:rPr>
        <w:t>IMF (2013,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AB0393">
        <w:rPr>
          <w:rFonts w:ascii="Times New Roman" w:hAnsi="Times New Roman"/>
          <w:sz w:val="22"/>
          <w:szCs w:val="22"/>
          <w:lang w:val="en-US"/>
        </w:rPr>
        <w:t xml:space="preserve">a), </w:t>
      </w:r>
      <w:r w:rsidRPr="00AB0393">
        <w:rPr>
          <w:rFonts w:ascii="Times New Roman" w:hAnsi="Times New Roman"/>
          <w:i/>
          <w:sz w:val="22"/>
          <w:szCs w:val="22"/>
          <w:lang w:val="en-US"/>
        </w:rPr>
        <w:t>Global Financial Stability Report: Old Risk, New Challenges</w:t>
      </w:r>
    </w:p>
    <w:p w:rsidR="00F3437F" w:rsidRDefault="00F3437F" w:rsidP="00F3437F">
      <w:pPr>
        <w:rPr>
          <w:lang w:eastAsia="tr-TR"/>
        </w:rPr>
      </w:pPr>
    </w:p>
    <w:p w:rsidR="00F3437F" w:rsidRPr="00AB0393" w:rsidRDefault="00F3437F" w:rsidP="00F3437F">
      <w:pPr>
        <w:pStyle w:val="2"/>
        <w:spacing w:before="6" w:after="6"/>
        <w:ind w:left="576" w:right="576"/>
        <w:rPr>
          <w:rFonts w:ascii="Times New Roman" w:hAnsi="Times New Roman"/>
          <w:b/>
          <w:sz w:val="22"/>
          <w:szCs w:val="22"/>
          <w:lang w:val="en-US"/>
        </w:rPr>
      </w:pPr>
      <w:r w:rsidRPr="00AB0393">
        <w:rPr>
          <w:rFonts w:ascii="Times New Roman" w:hAnsi="Times New Roman"/>
          <w:b/>
          <w:sz w:val="22"/>
          <w:szCs w:val="22"/>
          <w:lang w:val="en-US"/>
        </w:rPr>
        <w:t xml:space="preserve">Table </w:t>
      </w:r>
      <w:r>
        <w:rPr>
          <w:rFonts w:ascii="Times New Roman" w:hAnsi="Times New Roman"/>
          <w:b/>
          <w:sz w:val="22"/>
          <w:szCs w:val="22"/>
          <w:lang w:val="en-US"/>
        </w:rPr>
        <w:t>2</w:t>
      </w:r>
      <w:r w:rsidRPr="00AB0393">
        <w:rPr>
          <w:rFonts w:ascii="Times New Roman" w:hAnsi="Times New Roman"/>
          <w:b/>
          <w:sz w:val="22"/>
          <w:szCs w:val="22"/>
          <w:lang w:val="en-US"/>
        </w:rPr>
        <w:t xml:space="preserve">. </w:t>
      </w:r>
      <w:r w:rsidRPr="00FC0354">
        <w:rPr>
          <w:rFonts w:ascii="Times New Roman" w:hAnsi="Times New Roman"/>
          <w:i/>
          <w:sz w:val="22"/>
          <w:szCs w:val="22"/>
          <w:lang w:val="en-US"/>
        </w:rPr>
        <w:t>Central Banks that have introduced Negative Policy Rates</w:t>
      </w:r>
    </w:p>
    <w:tbl>
      <w:tblPr>
        <w:tblStyle w:val="1-2"/>
        <w:tblW w:w="1089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998"/>
        <w:gridCol w:w="180"/>
        <w:gridCol w:w="2232"/>
        <w:gridCol w:w="2070"/>
        <w:gridCol w:w="2340"/>
        <w:gridCol w:w="2070"/>
      </w:tblGrid>
      <w:tr w:rsidR="00F3437F" w:rsidRPr="00AB0393" w:rsidTr="00080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F3437F" w:rsidRPr="00AB0393" w:rsidRDefault="00F3437F" w:rsidP="000806E2">
            <w:pPr>
              <w:pStyle w:val="2"/>
              <w:spacing w:before="6" w:after="6"/>
              <w:ind w:left="270" w:right="576"/>
              <w:jc w:val="center"/>
              <w:outlineLvl w:val="1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2412" w:type="dxa"/>
            <w:gridSpan w:val="2"/>
            <w:vAlign w:val="center"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szCs w:val="22"/>
                <w:lang w:val="en-US"/>
              </w:rPr>
              <w:t>Date negative rate first introduced</w:t>
            </w:r>
          </w:p>
        </w:tc>
        <w:tc>
          <w:tcPr>
            <w:tcW w:w="6480" w:type="dxa"/>
            <w:gridSpan w:val="3"/>
            <w:vAlign w:val="center"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szCs w:val="22"/>
                <w:lang w:val="en-US"/>
              </w:rPr>
              <w:t>Latest policy rates, basic points (March 2016)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0" w:type="dxa"/>
            <w:gridSpan w:val="3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7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Lending rate</w:t>
            </w:r>
          </w:p>
        </w:tc>
        <w:tc>
          <w:tcPr>
            <w:tcW w:w="234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Main policy</w:t>
            </w:r>
          </w:p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proofErr w:type="gramStart"/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rate</w:t>
            </w:r>
            <w:proofErr w:type="gramEnd"/>
          </w:p>
        </w:tc>
        <w:tc>
          <w:tcPr>
            <w:tcW w:w="207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Deposit rate</w:t>
            </w:r>
          </w:p>
        </w:tc>
      </w:tr>
      <w:tr w:rsidR="00F3437F" w:rsidRPr="00AB0393" w:rsidTr="00080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gridSpan w:val="2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270" w:right="576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Danish National Bank</w:t>
            </w:r>
          </w:p>
        </w:tc>
        <w:tc>
          <w:tcPr>
            <w:tcW w:w="2232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July 2012 to April 2014;</w:t>
            </w:r>
          </w:p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September 2014 onwards</w:t>
            </w:r>
          </w:p>
        </w:tc>
        <w:tc>
          <w:tcPr>
            <w:tcW w:w="207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0</w:t>
            </w:r>
          </w:p>
        </w:tc>
        <w:tc>
          <w:tcPr>
            <w:tcW w:w="207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-65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gridSpan w:val="2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270" w:right="576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ECB</w:t>
            </w:r>
          </w:p>
        </w:tc>
        <w:tc>
          <w:tcPr>
            <w:tcW w:w="2232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June 2014 onwards</w:t>
            </w:r>
          </w:p>
        </w:tc>
        <w:tc>
          <w:tcPr>
            <w:tcW w:w="207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25</w:t>
            </w:r>
          </w:p>
        </w:tc>
        <w:tc>
          <w:tcPr>
            <w:tcW w:w="234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0</w:t>
            </w:r>
          </w:p>
        </w:tc>
        <w:tc>
          <w:tcPr>
            <w:tcW w:w="207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-40</w:t>
            </w:r>
          </w:p>
        </w:tc>
      </w:tr>
      <w:tr w:rsidR="00F3437F" w:rsidRPr="00AB0393" w:rsidTr="00080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gridSpan w:val="2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270" w:right="576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Swiss National Bank</w:t>
            </w:r>
          </w:p>
        </w:tc>
        <w:tc>
          <w:tcPr>
            <w:tcW w:w="2232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December 2014</w:t>
            </w:r>
          </w:p>
        </w:tc>
        <w:tc>
          <w:tcPr>
            <w:tcW w:w="207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50</w:t>
            </w:r>
          </w:p>
        </w:tc>
        <w:tc>
          <w:tcPr>
            <w:tcW w:w="234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-</w:t>
            </w:r>
          </w:p>
        </w:tc>
        <w:tc>
          <w:tcPr>
            <w:tcW w:w="207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-75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gridSpan w:val="2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270" w:right="576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Swedish </w:t>
            </w:r>
            <w:proofErr w:type="spellStart"/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Riksbank</w:t>
            </w:r>
            <w:proofErr w:type="spellEnd"/>
          </w:p>
        </w:tc>
        <w:tc>
          <w:tcPr>
            <w:tcW w:w="2232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February 2015</w:t>
            </w:r>
          </w:p>
        </w:tc>
        <w:tc>
          <w:tcPr>
            <w:tcW w:w="207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25</w:t>
            </w:r>
          </w:p>
        </w:tc>
        <w:tc>
          <w:tcPr>
            <w:tcW w:w="234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-50</w:t>
            </w:r>
          </w:p>
        </w:tc>
        <w:tc>
          <w:tcPr>
            <w:tcW w:w="2070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2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2"/>
                <w:lang w:val="en-US"/>
              </w:rPr>
              <w:t>-125</w:t>
            </w:r>
          </w:p>
        </w:tc>
      </w:tr>
      <w:tr w:rsidR="00F3437F" w:rsidRPr="00AB0393" w:rsidTr="00080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gridSpan w:val="2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270" w:right="576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Bank of Japan</w:t>
            </w:r>
          </w:p>
        </w:tc>
        <w:tc>
          <w:tcPr>
            <w:tcW w:w="2232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January 2016</w:t>
            </w:r>
          </w:p>
        </w:tc>
        <w:tc>
          <w:tcPr>
            <w:tcW w:w="2070" w:type="dxa"/>
            <w:vAlign w:val="center"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2340" w:type="dxa"/>
            <w:vAlign w:val="center"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2070" w:type="dxa"/>
            <w:vAlign w:val="center"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szCs w:val="22"/>
                <w:lang w:val="en-US"/>
              </w:rPr>
              <w:t>-10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gridSpan w:val="2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270" w:right="576"/>
              <w:jc w:val="center"/>
              <w:outlineLvl w:val="1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Hungarian National Bank</w:t>
            </w:r>
          </w:p>
        </w:tc>
        <w:tc>
          <w:tcPr>
            <w:tcW w:w="2232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szCs w:val="20"/>
                <w:lang w:val="en-US"/>
              </w:rPr>
              <w:t>March 2016</w:t>
            </w:r>
          </w:p>
        </w:tc>
        <w:tc>
          <w:tcPr>
            <w:tcW w:w="2070" w:type="dxa"/>
            <w:vAlign w:val="center"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szCs w:val="22"/>
                <w:lang w:val="en-US"/>
              </w:rPr>
              <w:t>145</w:t>
            </w:r>
          </w:p>
        </w:tc>
        <w:tc>
          <w:tcPr>
            <w:tcW w:w="2340" w:type="dxa"/>
            <w:vAlign w:val="center"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szCs w:val="22"/>
                <w:lang w:val="en-US"/>
              </w:rPr>
              <w:t>120</w:t>
            </w:r>
          </w:p>
        </w:tc>
        <w:tc>
          <w:tcPr>
            <w:tcW w:w="2070" w:type="dxa"/>
            <w:vAlign w:val="center"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szCs w:val="22"/>
                <w:lang w:val="en-US"/>
              </w:rPr>
              <w:t>-5</w:t>
            </w:r>
          </w:p>
        </w:tc>
      </w:tr>
    </w:tbl>
    <w:p w:rsidR="00F3437F" w:rsidRPr="00AB0393" w:rsidRDefault="00F3437F" w:rsidP="00F3437F">
      <w:pPr>
        <w:pStyle w:val="2"/>
        <w:tabs>
          <w:tab w:val="left" w:pos="900"/>
        </w:tabs>
        <w:spacing w:before="6" w:after="6"/>
        <w:ind w:left="576" w:right="576"/>
        <w:jc w:val="both"/>
        <w:rPr>
          <w:rFonts w:ascii="Times New Roman" w:hAnsi="Times New Roman"/>
          <w:sz w:val="22"/>
          <w:szCs w:val="22"/>
          <w:lang w:val="en-US"/>
        </w:rPr>
      </w:pPr>
      <w:r w:rsidRPr="00FC0354">
        <w:rPr>
          <w:rFonts w:ascii="Times New Roman" w:hAnsi="Times New Roman"/>
          <w:b/>
          <w:sz w:val="22"/>
          <w:szCs w:val="22"/>
          <w:lang w:val="en-US"/>
        </w:rPr>
        <w:t>Source:</w:t>
      </w:r>
      <w:r w:rsidRPr="00FC0354">
        <w:rPr>
          <w:rFonts w:ascii="Times New Roman" w:hAnsi="Times New Roman"/>
          <w:sz w:val="22"/>
          <w:szCs w:val="22"/>
          <w:lang w:val="en-US"/>
        </w:rPr>
        <w:t xml:space="preserve">  </w:t>
      </w:r>
      <w:hyperlink r:id="rId8" w:history="1">
        <w:proofErr w:type="spellStart"/>
        <w:r w:rsidRPr="00AB0393">
          <w:rPr>
            <w:rFonts w:ascii="Times New Roman" w:hAnsi="Times New Roman"/>
            <w:sz w:val="22"/>
            <w:szCs w:val="22"/>
            <w:lang w:val="en-US"/>
          </w:rPr>
          <w:t>Viñals</w:t>
        </w:r>
        <w:proofErr w:type="spellEnd"/>
      </w:hyperlink>
      <w:r w:rsidRPr="00AB0393">
        <w:rPr>
          <w:rFonts w:ascii="Times New Roman" w:hAnsi="Times New Roman"/>
          <w:sz w:val="22"/>
          <w:szCs w:val="22"/>
          <w:lang w:val="en-US"/>
        </w:rPr>
        <w:t xml:space="preserve"> J., </w:t>
      </w:r>
      <w:hyperlink r:id="rId9" w:history="1">
        <w:r w:rsidRPr="00AB0393">
          <w:rPr>
            <w:rFonts w:ascii="Times New Roman" w:hAnsi="Times New Roman"/>
            <w:sz w:val="22"/>
            <w:szCs w:val="22"/>
            <w:lang w:val="en-US"/>
          </w:rPr>
          <w:t>Gray</w:t>
        </w:r>
      </w:hyperlink>
      <w:r w:rsidRPr="00AB0393">
        <w:rPr>
          <w:rFonts w:ascii="Times New Roman" w:hAnsi="Times New Roman"/>
          <w:sz w:val="22"/>
          <w:szCs w:val="22"/>
          <w:lang w:val="en-US"/>
        </w:rPr>
        <w:t xml:space="preserve"> S. &amp; </w:t>
      </w:r>
      <w:hyperlink r:id="rId10" w:history="1">
        <w:proofErr w:type="spellStart"/>
        <w:r w:rsidRPr="00AB0393">
          <w:rPr>
            <w:rFonts w:ascii="Times New Roman" w:hAnsi="Times New Roman"/>
            <w:sz w:val="22"/>
            <w:szCs w:val="22"/>
            <w:lang w:val="en-US"/>
          </w:rPr>
          <w:t>Eckhold</w:t>
        </w:r>
        <w:proofErr w:type="spellEnd"/>
      </w:hyperlink>
      <w:r w:rsidRPr="00AB0393">
        <w:rPr>
          <w:rFonts w:ascii="Times New Roman" w:hAnsi="Times New Roman"/>
          <w:sz w:val="22"/>
          <w:szCs w:val="22"/>
          <w:lang w:val="en-US"/>
        </w:rPr>
        <w:t xml:space="preserve">, K.(2016), </w:t>
      </w:r>
      <w:hyperlink r:id="rId11" w:tooltip="The Broader View: The Positive Effects of Negative Nominal Interest Rates" w:history="1">
        <w:r w:rsidRPr="00AB0393">
          <w:rPr>
            <w:rFonts w:ascii="Times New Roman" w:hAnsi="Times New Roman"/>
            <w:i/>
            <w:sz w:val="22"/>
            <w:szCs w:val="22"/>
            <w:lang w:val="en-US"/>
          </w:rPr>
          <w:t>The Broader View: The Positive Effects of Negative Nominal Interest Rates</w:t>
        </w:r>
      </w:hyperlink>
      <w:r w:rsidRPr="00AB0393">
        <w:rPr>
          <w:rFonts w:ascii="Times New Roman" w:hAnsi="Times New Roman"/>
          <w:sz w:val="22"/>
          <w:szCs w:val="22"/>
          <w:lang w:val="en-US"/>
        </w:rPr>
        <w:t>, IMF Global Economy Forum</w:t>
      </w:r>
    </w:p>
    <w:p w:rsidR="00F3437F" w:rsidRPr="00AB0393" w:rsidRDefault="00F3437F" w:rsidP="00F3437F">
      <w:pPr>
        <w:pStyle w:val="2"/>
        <w:spacing w:before="6" w:after="6"/>
        <w:ind w:left="576" w:right="576"/>
        <w:rPr>
          <w:rFonts w:ascii="Times New Roman" w:hAnsi="Times New Roman"/>
          <w:b/>
          <w:sz w:val="22"/>
          <w:lang w:val="en-US"/>
        </w:rPr>
      </w:pPr>
      <w:r w:rsidRPr="00AB0393">
        <w:rPr>
          <w:rFonts w:ascii="Times New Roman" w:hAnsi="Times New Roman"/>
          <w:b/>
          <w:sz w:val="22"/>
          <w:lang w:val="en-US"/>
        </w:rPr>
        <w:lastRenderedPageBreak/>
        <w:t xml:space="preserve">Table </w:t>
      </w:r>
      <w:r>
        <w:rPr>
          <w:rFonts w:ascii="Times New Roman" w:hAnsi="Times New Roman"/>
          <w:b/>
          <w:sz w:val="22"/>
          <w:lang w:val="en-US"/>
        </w:rPr>
        <w:t>3</w:t>
      </w:r>
      <w:r w:rsidRPr="00AB0393">
        <w:rPr>
          <w:rFonts w:ascii="Times New Roman" w:hAnsi="Times New Roman"/>
          <w:b/>
          <w:sz w:val="22"/>
          <w:lang w:val="en-US"/>
        </w:rPr>
        <w:t xml:space="preserve">. </w:t>
      </w:r>
      <w:r w:rsidRPr="00FC0354">
        <w:rPr>
          <w:rFonts w:ascii="Times New Roman" w:hAnsi="Times New Roman"/>
          <w:i/>
          <w:sz w:val="22"/>
          <w:lang w:val="en-US"/>
        </w:rPr>
        <w:t>Unconventional Central Bank Balance Sheet Policies</w:t>
      </w:r>
    </w:p>
    <w:tbl>
      <w:tblPr>
        <w:tblStyle w:val="1-5"/>
        <w:tblW w:w="10530" w:type="dxa"/>
        <w:tblInd w:w="-162" w:type="dxa"/>
        <w:tblLook w:val="04A0" w:firstRow="1" w:lastRow="0" w:firstColumn="1" w:lastColumn="0" w:noHBand="0" w:noVBand="1"/>
      </w:tblPr>
      <w:tblGrid>
        <w:gridCol w:w="3192"/>
        <w:gridCol w:w="3192"/>
        <w:gridCol w:w="4146"/>
      </w:tblGrid>
      <w:tr w:rsidR="00F3437F" w:rsidRPr="00AB0393" w:rsidTr="00080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rPr>
                <w:rFonts w:ascii="Times New Roman" w:hAnsi="Times New Roman"/>
                <w:sz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lang w:val="en-US"/>
              </w:rPr>
              <w:t>Objective</w:t>
            </w:r>
          </w:p>
        </w:tc>
        <w:tc>
          <w:tcPr>
            <w:tcW w:w="3192" w:type="dxa"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lang w:val="en-US"/>
              </w:rPr>
              <w:t>Policy</w:t>
            </w:r>
          </w:p>
        </w:tc>
        <w:tc>
          <w:tcPr>
            <w:tcW w:w="4146" w:type="dxa"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lang w:val="en-US"/>
              </w:rPr>
            </w:pPr>
            <w:r w:rsidRPr="00AB0393">
              <w:rPr>
                <w:rFonts w:ascii="Times New Roman" w:hAnsi="Times New Roman"/>
                <w:sz w:val="22"/>
                <w:lang w:val="en-US"/>
              </w:rPr>
              <w:t>Inclusion in the toolkit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vAlign w:val="center"/>
          </w:tcPr>
          <w:p w:rsidR="00F3437F" w:rsidRPr="00DD7367" w:rsidRDefault="00F3437F" w:rsidP="000806E2">
            <w:pPr>
              <w:pStyle w:val="2"/>
              <w:spacing w:before="6" w:after="6"/>
              <w:ind w:left="576" w:right="576"/>
              <w:outlineLvl w:val="1"/>
              <w:rPr>
                <w:rFonts w:ascii="Times New Roman" w:hAnsi="Times New Roman"/>
                <w:sz w:val="22"/>
                <w:lang w:val="en-US"/>
              </w:rPr>
            </w:pPr>
            <w:r w:rsidRPr="00DD7367">
              <w:rPr>
                <w:rFonts w:ascii="Times New Roman" w:hAnsi="Times New Roman"/>
                <w:sz w:val="22"/>
                <w:lang w:val="en-US"/>
              </w:rPr>
              <w:t>Financial stability</w:t>
            </w:r>
          </w:p>
        </w:tc>
        <w:tc>
          <w:tcPr>
            <w:tcW w:w="3192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lang w:val="en-US"/>
              </w:rPr>
              <w:t>Liquidity provision to funding and credit markets</w:t>
            </w:r>
          </w:p>
        </w:tc>
        <w:tc>
          <w:tcPr>
            <w:tcW w:w="4146" w:type="dxa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lang w:val="en-US"/>
              </w:rPr>
              <w:t>Appropriate when liquidity stress spilling over into real economy but with safeguards and coordination</w:t>
            </w:r>
          </w:p>
        </w:tc>
      </w:tr>
      <w:tr w:rsidR="00F3437F" w:rsidRPr="00AB0393" w:rsidTr="00080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  <w:vAlign w:val="center"/>
          </w:tcPr>
          <w:p w:rsidR="00F3437F" w:rsidRPr="00DD7367" w:rsidRDefault="00F3437F" w:rsidP="000806E2">
            <w:pPr>
              <w:pStyle w:val="2"/>
              <w:spacing w:before="6" w:after="6"/>
              <w:ind w:left="576" w:right="576"/>
              <w:outlineLvl w:val="1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3192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lang w:val="en-US"/>
              </w:rPr>
              <w:t>Foreign exchange liquidity provision to local markets</w:t>
            </w:r>
          </w:p>
        </w:tc>
        <w:tc>
          <w:tcPr>
            <w:tcW w:w="4146" w:type="dxa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lang w:val="en-US"/>
              </w:rPr>
              <w:t>Appropriate when foreign exchange liquidity stress spilling over into real economy but with safeguards and coordination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 w:val="restart"/>
            <w:vAlign w:val="center"/>
          </w:tcPr>
          <w:p w:rsidR="00F3437F" w:rsidRPr="00DD7367" w:rsidRDefault="00F3437F" w:rsidP="000806E2">
            <w:pPr>
              <w:pStyle w:val="2"/>
              <w:spacing w:before="6" w:after="6"/>
              <w:ind w:left="576" w:right="576"/>
              <w:outlineLvl w:val="1"/>
              <w:rPr>
                <w:rFonts w:ascii="Times New Roman" w:hAnsi="Times New Roman"/>
                <w:sz w:val="22"/>
                <w:lang w:val="en-US"/>
              </w:rPr>
            </w:pPr>
            <w:r w:rsidRPr="00DD7367">
              <w:rPr>
                <w:rFonts w:ascii="Times New Roman" w:hAnsi="Times New Roman"/>
                <w:sz w:val="22"/>
                <w:lang w:val="en-US"/>
              </w:rPr>
              <w:t>Macroeconomic stability</w:t>
            </w:r>
          </w:p>
        </w:tc>
        <w:tc>
          <w:tcPr>
            <w:tcW w:w="3192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lang w:val="en-US"/>
              </w:rPr>
              <w:t>Bond purchases</w:t>
            </w:r>
          </w:p>
        </w:tc>
        <w:tc>
          <w:tcPr>
            <w:tcW w:w="4146" w:type="dxa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lang w:val="en-US"/>
              </w:rPr>
              <w:t>Effective for highly credible central banks to a degree when the policy rate is at the lower bound but there are risks and policy overlaps</w:t>
            </w:r>
          </w:p>
        </w:tc>
      </w:tr>
      <w:tr w:rsidR="00F3437F" w:rsidRPr="00AB0393" w:rsidTr="00080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outlineLvl w:val="1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3192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lang w:val="en-US"/>
              </w:rPr>
              <w:t>Large-scale foreign exchange intervention</w:t>
            </w:r>
          </w:p>
        </w:tc>
        <w:tc>
          <w:tcPr>
            <w:tcW w:w="4146" w:type="dxa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outlineLvl w:val="1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lang w:val="en-US"/>
              </w:rPr>
              <w:t>Effective for highly credible central banks in stemming appreciation in the short-run but also poses important policy, balance sheet, and multilateral risks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  <w:vMerge/>
          </w:tcPr>
          <w:p w:rsidR="00F3437F" w:rsidRPr="00AB0393" w:rsidRDefault="00F3437F" w:rsidP="000806E2">
            <w:pPr>
              <w:pStyle w:val="2"/>
              <w:spacing w:before="6" w:after="6"/>
              <w:ind w:left="576" w:right="576"/>
              <w:outlineLvl w:val="1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3192" w:type="dxa"/>
            <w:vAlign w:val="center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lang w:val="en-US"/>
              </w:rPr>
              <w:t>Credit provision to the private sector</w:t>
            </w:r>
          </w:p>
        </w:tc>
        <w:tc>
          <w:tcPr>
            <w:tcW w:w="4146" w:type="dxa"/>
          </w:tcPr>
          <w:p w:rsidR="00F3437F" w:rsidRPr="00D35AEF" w:rsidRDefault="00F3437F" w:rsidP="000806E2">
            <w:pPr>
              <w:pStyle w:val="2"/>
              <w:spacing w:before="6" w:after="6"/>
              <w:ind w:left="576" w:right="576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lang w:val="en-US"/>
              </w:rPr>
            </w:pPr>
            <w:r w:rsidRPr="00D35AEF">
              <w:rPr>
                <w:rFonts w:ascii="Times New Roman" w:hAnsi="Times New Roman"/>
                <w:sz w:val="20"/>
                <w:lang w:val="en-US"/>
              </w:rPr>
              <w:t>Weak case to be done by the central bank vis-à-vis the government in all but the most exceptional circumstances</w:t>
            </w:r>
          </w:p>
        </w:tc>
      </w:tr>
    </w:tbl>
    <w:p w:rsidR="00F3437F" w:rsidRDefault="00F3437F" w:rsidP="00F3437F">
      <w:pPr>
        <w:spacing w:before="6" w:after="6"/>
        <w:ind w:left="1350" w:right="576" w:hanging="774"/>
        <w:rPr>
          <w:rFonts w:ascii="Times New Roman" w:hAnsi="Times New Roman"/>
        </w:rPr>
      </w:pPr>
      <w:r w:rsidRPr="00FC0354">
        <w:rPr>
          <w:rFonts w:ascii="Times New Roman" w:hAnsi="Times New Roman"/>
          <w:b/>
        </w:rPr>
        <w:t>Source</w:t>
      </w:r>
      <w:r w:rsidRPr="00FC0354">
        <w:rPr>
          <w:b/>
        </w:rPr>
        <w:t xml:space="preserve">: </w:t>
      </w:r>
      <w:r w:rsidRPr="00AB0393">
        <w:rPr>
          <w:rFonts w:ascii="Times New Roman" w:hAnsi="Times New Roman"/>
        </w:rPr>
        <w:t xml:space="preserve">Stone, M., Fujita, K. &amp; </w:t>
      </w:r>
      <w:proofErr w:type="spellStart"/>
      <w:r w:rsidRPr="00AB0393">
        <w:rPr>
          <w:rFonts w:ascii="Times New Roman" w:hAnsi="Times New Roman"/>
        </w:rPr>
        <w:t>Ishi</w:t>
      </w:r>
      <w:proofErr w:type="spellEnd"/>
      <w:r w:rsidRPr="00AB0393">
        <w:rPr>
          <w:rFonts w:ascii="Times New Roman" w:hAnsi="Times New Roman"/>
        </w:rPr>
        <w:t xml:space="preserve"> K. (2011), </w:t>
      </w:r>
      <w:proofErr w:type="gramStart"/>
      <w:r w:rsidRPr="00AB0393">
        <w:rPr>
          <w:rFonts w:ascii="Times New Roman" w:hAnsi="Times New Roman"/>
          <w:i/>
        </w:rPr>
        <w:t>Should</w:t>
      </w:r>
      <w:proofErr w:type="gramEnd"/>
      <w:r w:rsidRPr="00AB0393">
        <w:rPr>
          <w:rFonts w:ascii="Times New Roman" w:hAnsi="Times New Roman"/>
          <w:i/>
        </w:rPr>
        <w:t xml:space="preserve"> Unconventional Balance Sheet Policies be </w:t>
      </w:r>
      <w:r>
        <w:rPr>
          <w:rFonts w:ascii="Times New Roman" w:hAnsi="Times New Roman"/>
          <w:i/>
        </w:rPr>
        <w:t>a</w:t>
      </w:r>
      <w:r w:rsidRPr="00AB0393">
        <w:rPr>
          <w:rFonts w:ascii="Times New Roman" w:hAnsi="Times New Roman"/>
          <w:i/>
        </w:rPr>
        <w:t>dded to the Central Bank Toolkit? A Review of the Experience So Far</w:t>
      </w:r>
      <w:r w:rsidRPr="00AB0393">
        <w:rPr>
          <w:rFonts w:ascii="Times New Roman" w:hAnsi="Times New Roman"/>
        </w:rPr>
        <w:t>, IMF Working Paper 11/145</w:t>
      </w:r>
    </w:p>
    <w:p w:rsidR="00F3437F" w:rsidRDefault="00F3437F" w:rsidP="00F3437F">
      <w:pPr>
        <w:rPr>
          <w:lang w:eastAsia="tr-TR"/>
        </w:rPr>
      </w:pPr>
    </w:p>
    <w:p w:rsidR="00F3437F" w:rsidRPr="008E3565" w:rsidRDefault="00F3437F" w:rsidP="00F3437F">
      <w:pPr>
        <w:pStyle w:val="2"/>
        <w:spacing w:before="6" w:after="6"/>
        <w:ind w:left="576" w:right="576"/>
        <w:rPr>
          <w:rFonts w:ascii="Times New Roman" w:hAnsi="Times New Roman"/>
          <w:i/>
          <w:sz w:val="22"/>
          <w:lang w:val="en-US"/>
        </w:rPr>
      </w:pPr>
      <w:proofErr w:type="gramStart"/>
      <w:r w:rsidRPr="00AB0393">
        <w:rPr>
          <w:rFonts w:ascii="Times New Roman" w:hAnsi="Times New Roman"/>
          <w:b/>
          <w:sz w:val="22"/>
          <w:lang w:val="en-US"/>
        </w:rPr>
        <w:t xml:space="preserve">Table </w:t>
      </w:r>
      <w:r>
        <w:rPr>
          <w:rFonts w:ascii="Times New Roman" w:hAnsi="Times New Roman"/>
          <w:b/>
          <w:sz w:val="22"/>
          <w:lang w:val="en-US"/>
        </w:rPr>
        <w:t>4</w:t>
      </w:r>
      <w:r w:rsidRPr="00AB0393">
        <w:rPr>
          <w:rFonts w:ascii="Times New Roman" w:hAnsi="Times New Roman"/>
          <w:b/>
          <w:sz w:val="22"/>
          <w:lang w:val="en-US"/>
        </w:rPr>
        <w:t>.</w:t>
      </w:r>
      <w:proofErr w:type="gramEnd"/>
      <w:r w:rsidRPr="00AB0393">
        <w:rPr>
          <w:rFonts w:ascii="Times New Roman" w:hAnsi="Times New Roman"/>
          <w:b/>
          <w:sz w:val="22"/>
          <w:lang w:val="en-US"/>
        </w:rPr>
        <w:t xml:space="preserve"> </w:t>
      </w:r>
      <w:r w:rsidRPr="008E3565">
        <w:rPr>
          <w:rFonts w:ascii="Times New Roman" w:hAnsi="Times New Roman"/>
          <w:i/>
          <w:sz w:val="22"/>
          <w:lang w:val="en-US"/>
        </w:rPr>
        <w:t xml:space="preserve">The relation between monetary and macro-prudential policies in various views </w:t>
      </w:r>
    </w:p>
    <w:tbl>
      <w:tblPr>
        <w:tblStyle w:val="2-6"/>
        <w:tblW w:w="10638" w:type="dxa"/>
        <w:tblLook w:val="04A0" w:firstRow="1" w:lastRow="0" w:firstColumn="1" w:lastColumn="0" w:noHBand="0" w:noVBand="1"/>
      </w:tblPr>
      <w:tblGrid>
        <w:gridCol w:w="2419"/>
        <w:gridCol w:w="2549"/>
        <w:gridCol w:w="2700"/>
        <w:gridCol w:w="2970"/>
      </w:tblGrid>
      <w:tr w:rsidR="00F3437F" w:rsidRPr="00AB0393" w:rsidTr="00080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9" w:type="dxa"/>
          </w:tcPr>
          <w:p w:rsidR="00F3437F" w:rsidRPr="00AB0393" w:rsidRDefault="00F3437F" w:rsidP="000806E2">
            <w:pPr>
              <w:spacing w:before="6" w:after="6"/>
              <w:ind w:left="576" w:right="5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Modified Jackson Hole consensus</w:t>
            </w:r>
          </w:p>
        </w:tc>
        <w:tc>
          <w:tcPr>
            <w:tcW w:w="2700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Leaning against the wind vindicated</w:t>
            </w:r>
          </w:p>
        </w:tc>
        <w:tc>
          <w:tcPr>
            <w:tcW w:w="2970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Financial stability is price stability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Monetary Policy</w:t>
            </w:r>
          </w:p>
        </w:tc>
        <w:tc>
          <w:tcPr>
            <w:tcW w:w="2549" w:type="dxa"/>
            <w:vAlign w:val="center"/>
          </w:tcPr>
          <w:p w:rsidR="00F3437F" w:rsidRPr="00AB0393" w:rsidRDefault="00F3437F" w:rsidP="000806E2">
            <w:pPr>
              <w:pStyle w:val="a6"/>
              <w:tabs>
                <w:tab w:val="left" w:pos="72"/>
              </w:tabs>
              <w:spacing w:before="6" w:after="6"/>
              <w:ind w:left="576" w:right="5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Framework largely unchanged;</w:t>
            </w:r>
          </w:p>
          <w:p w:rsidR="00F3437F" w:rsidRPr="00AB0393" w:rsidRDefault="00F3437F" w:rsidP="000806E2">
            <w:pPr>
              <w:pStyle w:val="a6"/>
              <w:tabs>
                <w:tab w:val="left" w:pos="522"/>
              </w:tabs>
              <w:spacing w:before="6" w:after="6"/>
              <w:ind w:left="576" w:right="5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Limited effects on credit and risk taking;</w:t>
            </w:r>
          </w:p>
          <w:p w:rsidR="00F3437F" w:rsidRPr="00AB0393" w:rsidRDefault="00F3437F" w:rsidP="000806E2">
            <w:pPr>
              <w:pStyle w:val="a6"/>
              <w:tabs>
                <w:tab w:val="left" w:pos="522"/>
              </w:tabs>
              <w:spacing w:before="6" w:after="6"/>
              <w:ind w:left="576" w:right="5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Blunt instrument to deal with imbalances</w:t>
            </w:r>
          </w:p>
        </w:tc>
        <w:tc>
          <w:tcPr>
            <w:tcW w:w="2700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Financial stability as secondary objective: lengthening of horizon; Affects risk-taking;</w:t>
            </w:r>
          </w:p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“Gets in all of the cracks”</w:t>
            </w:r>
          </w:p>
        </w:tc>
        <w:tc>
          <w:tcPr>
            <w:tcW w:w="2970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Twin objectives on equal footing; Unblocks balance sheet impairments; avoids financial imbalances in upturns</w:t>
            </w:r>
          </w:p>
        </w:tc>
      </w:tr>
      <w:tr w:rsidR="00F3437F" w:rsidRPr="00AB0393" w:rsidTr="00080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Macro prudential</w:t>
            </w:r>
          </w:p>
        </w:tc>
        <w:tc>
          <w:tcPr>
            <w:tcW w:w="2549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Granular and effective</w:t>
            </w:r>
          </w:p>
        </w:tc>
        <w:tc>
          <w:tcPr>
            <w:tcW w:w="2700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Cannot fully address financial cycle; arbitrage</w:t>
            </w:r>
          </w:p>
        </w:tc>
        <w:tc>
          <w:tcPr>
            <w:tcW w:w="2970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Indistinguishable from monetary policy</w:t>
            </w:r>
          </w:p>
        </w:tc>
      </w:tr>
      <w:tr w:rsidR="00F3437F" w:rsidRPr="00AB0393" w:rsidTr="00080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9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lastRenderedPageBreak/>
              <w:t>Interaction</w:t>
            </w:r>
          </w:p>
        </w:tc>
        <w:tc>
          <w:tcPr>
            <w:tcW w:w="2549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Limited interaction and easy separation of objectives, instruments, …</w:t>
            </w:r>
          </w:p>
        </w:tc>
        <w:tc>
          <w:tcPr>
            <w:tcW w:w="2700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Financial fragility affects monetary transmission are price stability Financial stability and price stability are intimately interlinked</w:t>
            </w:r>
          </w:p>
        </w:tc>
        <w:tc>
          <w:tcPr>
            <w:tcW w:w="2970" w:type="dxa"/>
            <w:vAlign w:val="center"/>
          </w:tcPr>
          <w:p w:rsidR="00F3437F" w:rsidRPr="00AB0393" w:rsidRDefault="00F3437F" w:rsidP="000806E2">
            <w:pPr>
              <w:spacing w:before="6" w:after="6"/>
              <w:ind w:left="576" w:right="5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 w:rsidRPr="00AB0393">
              <w:rPr>
                <w:rFonts w:ascii="Times New Roman" w:hAnsi="Times New Roman" w:cs="Times New Roman"/>
                <w:szCs w:val="20"/>
              </w:rPr>
              <w:t>Financial stability and price stability are intimately interlinked</w:t>
            </w:r>
          </w:p>
        </w:tc>
      </w:tr>
    </w:tbl>
    <w:p w:rsidR="00F3437F" w:rsidRDefault="00F3437F" w:rsidP="00F3437F">
      <w:pPr>
        <w:pStyle w:val="2"/>
        <w:tabs>
          <w:tab w:val="left" w:pos="0"/>
        </w:tabs>
        <w:spacing w:before="6" w:after="6"/>
        <w:ind w:left="1530" w:right="576" w:hanging="774"/>
        <w:jc w:val="both"/>
        <w:rPr>
          <w:rFonts w:ascii="Times New Roman" w:hAnsi="Times New Roman"/>
          <w:sz w:val="22"/>
          <w:lang w:val="en-US"/>
        </w:rPr>
      </w:pPr>
      <w:r w:rsidRPr="008E3565">
        <w:rPr>
          <w:rFonts w:ascii="Times New Roman" w:hAnsi="Times New Roman"/>
          <w:b/>
          <w:sz w:val="22"/>
          <w:lang w:val="en-US"/>
        </w:rPr>
        <w:t>Source:</w:t>
      </w:r>
      <w:r w:rsidRPr="00AB0393">
        <w:rPr>
          <w:rFonts w:ascii="Times New Roman" w:hAnsi="Times New Roman"/>
          <w:b/>
          <w:i/>
          <w:sz w:val="22"/>
          <w:lang w:val="en-US"/>
        </w:rPr>
        <w:t xml:space="preserve"> </w:t>
      </w:r>
      <w:proofErr w:type="spellStart"/>
      <w:r w:rsidRPr="00AB0393">
        <w:rPr>
          <w:rFonts w:ascii="Times New Roman" w:hAnsi="Times New Roman"/>
          <w:sz w:val="22"/>
          <w:lang w:val="en-US"/>
        </w:rPr>
        <w:t>Smets</w:t>
      </w:r>
      <w:proofErr w:type="spellEnd"/>
      <w:r w:rsidRPr="00AB0393">
        <w:rPr>
          <w:rFonts w:ascii="Times New Roman" w:hAnsi="Times New Roman"/>
          <w:sz w:val="22"/>
          <w:lang w:val="en-US"/>
        </w:rPr>
        <w:t xml:space="preserve">, F. (2013), </w:t>
      </w:r>
      <w:r>
        <w:rPr>
          <w:rFonts w:ascii="Times New Roman" w:hAnsi="Times New Roman"/>
          <w:i/>
          <w:sz w:val="22"/>
          <w:lang w:val="en-US"/>
        </w:rPr>
        <w:t>Financial S</w:t>
      </w:r>
      <w:r w:rsidRPr="00AB0393">
        <w:rPr>
          <w:rFonts w:ascii="Times New Roman" w:hAnsi="Times New Roman"/>
          <w:i/>
          <w:sz w:val="22"/>
          <w:lang w:val="en-US"/>
        </w:rPr>
        <w:t xml:space="preserve">tability and </w:t>
      </w:r>
      <w:r>
        <w:rPr>
          <w:rFonts w:ascii="Times New Roman" w:hAnsi="Times New Roman"/>
          <w:i/>
          <w:sz w:val="22"/>
          <w:lang w:val="en-US"/>
        </w:rPr>
        <w:t>M</w:t>
      </w:r>
      <w:r w:rsidRPr="00AB0393">
        <w:rPr>
          <w:rFonts w:ascii="Times New Roman" w:hAnsi="Times New Roman"/>
          <w:i/>
          <w:sz w:val="22"/>
          <w:lang w:val="en-US"/>
        </w:rPr>
        <w:t xml:space="preserve">onetary </w:t>
      </w:r>
      <w:r>
        <w:rPr>
          <w:rFonts w:ascii="Times New Roman" w:hAnsi="Times New Roman"/>
          <w:i/>
          <w:sz w:val="22"/>
          <w:lang w:val="en-US"/>
        </w:rPr>
        <w:t>P</w:t>
      </w:r>
      <w:r w:rsidRPr="00AB0393">
        <w:rPr>
          <w:rFonts w:ascii="Times New Roman" w:hAnsi="Times New Roman"/>
          <w:i/>
          <w:sz w:val="22"/>
          <w:lang w:val="en-US"/>
        </w:rPr>
        <w:t>olicy: how closely interlinked</w:t>
      </w:r>
      <w:proofErr w:type="gramStart"/>
      <w:r w:rsidRPr="00AB0393">
        <w:rPr>
          <w:rFonts w:ascii="Times New Roman" w:hAnsi="Times New Roman"/>
          <w:i/>
          <w:sz w:val="22"/>
          <w:lang w:val="en-US"/>
        </w:rPr>
        <w:t>?</w:t>
      </w:r>
      <w:r w:rsidRPr="00AB0393">
        <w:rPr>
          <w:rFonts w:ascii="Times New Roman" w:hAnsi="Times New Roman"/>
          <w:sz w:val="22"/>
          <w:lang w:val="en-US"/>
        </w:rPr>
        <w:t>,</w:t>
      </w:r>
      <w:proofErr w:type="gramEnd"/>
      <w:r w:rsidRPr="00AB0393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AB0393">
        <w:rPr>
          <w:rFonts w:ascii="Times New Roman" w:hAnsi="Times New Roman"/>
          <w:sz w:val="22"/>
          <w:lang w:val="en-US"/>
        </w:rPr>
        <w:t>Sveriges</w:t>
      </w:r>
      <w:proofErr w:type="spellEnd"/>
      <w:r w:rsidRPr="00AB0393">
        <w:rPr>
          <w:rFonts w:ascii="Times New Roman" w:hAnsi="Times New Roman"/>
          <w:sz w:val="22"/>
          <w:lang w:val="en-US"/>
        </w:rPr>
        <w:t xml:space="preserve"> </w:t>
      </w:r>
      <w:proofErr w:type="spellStart"/>
      <w:r w:rsidRPr="00AB0393">
        <w:rPr>
          <w:rFonts w:ascii="Times New Roman" w:hAnsi="Times New Roman"/>
          <w:sz w:val="22"/>
          <w:lang w:val="en-US"/>
        </w:rPr>
        <w:t>Riksbank</w:t>
      </w:r>
      <w:proofErr w:type="spellEnd"/>
      <w:r w:rsidRPr="00AB0393">
        <w:rPr>
          <w:rFonts w:ascii="Times New Roman" w:hAnsi="Times New Roman"/>
          <w:sz w:val="22"/>
          <w:lang w:val="en-US"/>
        </w:rPr>
        <w:t xml:space="preserve"> Economic Review, Special Issue</w:t>
      </w:r>
    </w:p>
    <w:p w:rsidR="0032049D" w:rsidRDefault="0032049D"/>
    <w:sectPr w:rsidR="00320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TUR">
    <w:altName w:val="Times New Roman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Segoe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34"/>
    <w:rsid w:val="0032049D"/>
    <w:rsid w:val="00366A79"/>
    <w:rsid w:val="00814834"/>
    <w:rsid w:val="00F3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7F"/>
  </w:style>
  <w:style w:type="paragraph" w:styleId="2">
    <w:name w:val="heading 2"/>
    <w:basedOn w:val="a"/>
    <w:next w:val="a"/>
    <w:link w:val="20"/>
    <w:unhideWhenUsed/>
    <w:qFormat/>
    <w:rsid w:val="00F3437F"/>
    <w:pPr>
      <w:autoSpaceDE w:val="0"/>
      <w:autoSpaceDN w:val="0"/>
      <w:adjustRightInd w:val="0"/>
      <w:spacing w:after="0" w:line="240" w:lineRule="auto"/>
      <w:outlineLvl w:val="1"/>
    </w:pPr>
    <w:rPr>
      <w:rFonts w:ascii="Arial TUR" w:eastAsia="Times New Roman" w:hAnsi="Arial TUR" w:cs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437F"/>
    <w:rPr>
      <w:rFonts w:ascii="Arial TUR" w:eastAsia="Times New Roman" w:hAnsi="Arial TUR" w:cs="Times New Roman"/>
      <w:sz w:val="24"/>
      <w:szCs w:val="24"/>
      <w:lang w:val="tr-TR" w:eastAsia="tr-TR"/>
    </w:rPr>
  </w:style>
  <w:style w:type="paragraph" w:styleId="a3">
    <w:name w:val="Balloon Text"/>
    <w:basedOn w:val="a"/>
    <w:link w:val="a4"/>
    <w:uiPriority w:val="99"/>
    <w:semiHidden/>
    <w:unhideWhenUsed/>
    <w:rsid w:val="00F3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37F"/>
    <w:rPr>
      <w:rFonts w:ascii="Tahoma" w:hAnsi="Tahoma" w:cs="Tahoma"/>
      <w:sz w:val="16"/>
      <w:szCs w:val="16"/>
    </w:rPr>
  </w:style>
  <w:style w:type="table" w:styleId="-5">
    <w:name w:val="Light List Accent 5"/>
    <w:basedOn w:val="a1"/>
    <w:uiPriority w:val="61"/>
    <w:rsid w:val="00F34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2">
    <w:name w:val="Medium Shading 1 Accent 2"/>
    <w:basedOn w:val="a1"/>
    <w:uiPriority w:val="63"/>
    <w:rsid w:val="00F34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F34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Normal (Web)"/>
    <w:basedOn w:val="a"/>
    <w:uiPriority w:val="99"/>
    <w:unhideWhenUsed/>
    <w:rsid w:val="00F3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3437F"/>
    <w:pPr>
      <w:ind w:left="720"/>
      <w:contextualSpacing/>
    </w:pPr>
  </w:style>
  <w:style w:type="table" w:styleId="2-6">
    <w:name w:val="Medium Shading 2 Accent 6"/>
    <w:basedOn w:val="a1"/>
    <w:uiPriority w:val="64"/>
    <w:rsid w:val="00F34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7F"/>
  </w:style>
  <w:style w:type="paragraph" w:styleId="2">
    <w:name w:val="heading 2"/>
    <w:basedOn w:val="a"/>
    <w:next w:val="a"/>
    <w:link w:val="20"/>
    <w:unhideWhenUsed/>
    <w:qFormat/>
    <w:rsid w:val="00F3437F"/>
    <w:pPr>
      <w:autoSpaceDE w:val="0"/>
      <w:autoSpaceDN w:val="0"/>
      <w:adjustRightInd w:val="0"/>
      <w:spacing w:after="0" w:line="240" w:lineRule="auto"/>
      <w:outlineLvl w:val="1"/>
    </w:pPr>
    <w:rPr>
      <w:rFonts w:ascii="Arial TUR" w:eastAsia="Times New Roman" w:hAnsi="Arial TUR" w:cs="Times New Roman"/>
      <w:sz w:val="24"/>
      <w:szCs w:val="24"/>
      <w:lang w:val="tr-TR"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437F"/>
    <w:rPr>
      <w:rFonts w:ascii="Arial TUR" w:eastAsia="Times New Roman" w:hAnsi="Arial TUR" w:cs="Times New Roman"/>
      <w:sz w:val="24"/>
      <w:szCs w:val="24"/>
      <w:lang w:val="tr-TR" w:eastAsia="tr-TR"/>
    </w:rPr>
  </w:style>
  <w:style w:type="paragraph" w:styleId="a3">
    <w:name w:val="Balloon Text"/>
    <w:basedOn w:val="a"/>
    <w:link w:val="a4"/>
    <w:uiPriority w:val="99"/>
    <w:semiHidden/>
    <w:unhideWhenUsed/>
    <w:rsid w:val="00F34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37F"/>
    <w:rPr>
      <w:rFonts w:ascii="Tahoma" w:hAnsi="Tahoma" w:cs="Tahoma"/>
      <w:sz w:val="16"/>
      <w:szCs w:val="16"/>
    </w:rPr>
  </w:style>
  <w:style w:type="table" w:styleId="-5">
    <w:name w:val="Light List Accent 5"/>
    <w:basedOn w:val="a1"/>
    <w:uiPriority w:val="61"/>
    <w:rsid w:val="00F34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2">
    <w:name w:val="Medium Shading 1 Accent 2"/>
    <w:basedOn w:val="a1"/>
    <w:uiPriority w:val="63"/>
    <w:rsid w:val="00F34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F34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Normal (Web)"/>
    <w:basedOn w:val="a"/>
    <w:uiPriority w:val="99"/>
    <w:unhideWhenUsed/>
    <w:rsid w:val="00F3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3437F"/>
    <w:pPr>
      <w:ind w:left="720"/>
      <w:contextualSpacing/>
    </w:pPr>
  </w:style>
  <w:style w:type="table" w:styleId="2-6">
    <w:name w:val="Medium Shading 2 Accent 6"/>
    <w:basedOn w:val="a1"/>
    <w:uiPriority w:val="64"/>
    <w:rsid w:val="00F343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-imfdirect.imf.org/bloggers/jose-vinal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hyperlink" Target="https://blog-imfdirect.imf.org/2016/04/10/the-broader-view-the-positive-effects-of-negative-nominal-interest-rat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log-imfdirect.imf.org/bloggers/kelly-eckhol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log-imfdirect.imf.org/bloggers/simon-gra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2016-06-25T15:33:00Z</dcterms:created>
  <dcterms:modified xsi:type="dcterms:W3CDTF">2016-06-25T15:53:00Z</dcterms:modified>
</cp:coreProperties>
</file>